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E6282">
      <w:pPr>
        <w:widowControl/>
        <w:spacing w:line="420" w:lineRule="atLeast"/>
        <w:jc w:val="center"/>
        <w:rPr>
          <w:rFonts w:hint="eastAsia" w:ascii="方正小标宋_GBK" w:hAnsi="方正小标宋_GBK" w:eastAsia="方正小标宋_GBK" w:cs="方正小标宋_GBK"/>
          <w:color w:val="auto"/>
          <w:kern w:val="0"/>
          <w:sz w:val="40"/>
          <w:szCs w:val="40"/>
        </w:rPr>
      </w:pPr>
      <w:r>
        <w:rPr>
          <w:rFonts w:hint="eastAsia" w:ascii="方正小标宋_GBK" w:hAnsi="方正小标宋_GBK" w:eastAsia="方正小标宋_GBK" w:cs="方正小标宋_GBK"/>
          <w:color w:val="auto"/>
          <w:kern w:val="0"/>
          <w:sz w:val="40"/>
          <w:szCs w:val="40"/>
        </w:rPr>
        <w:t>国家卫生健康委办公厅关于进一步健全城市社区卫生服务体系 提升服务能力的通知</w:t>
      </w:r>
    </w:p>
    <w:p w14:paraId="5A852947">
      <w:pPr>
        <w:widowControl/>
        <w:ind w:left="0" w:leftChars="0" w:firstLine="0" w:firstLineChars="0"/>
        <w:jc w:val="center"/>
        <w:rPr>
          <w:rFonts w:hint="eastAsia" w:ascii="仿宋" w:hAnsi="仿宋" w:eastAsia="仿宋" w:cs="宋体"/>
          <w:color w:val="484848"/>
          <w:kern w:val="0"/>
          <w:sz w:val="32"/>
          <w:szCs w:val="32"/>
        </w:rPr>
      </w:pPr>
      <w:r>
        <w:rPr>
          <w:rFonts w:hint="eastAsia" w:ascii="仿宋" w:hAnsi="仿宋" w:eastAsia="仿宋" w:cs="宋体"/>
          <w:color w:val="484848"/>
          <w:kern w:val="0"/>
          <w:sz w:val="32"/>
          <w:szCs w:val="32"/>
        </w:rPr>
        <w:t>国卫办基层发〔2026〕7号</w:t>
      </w:r>
    </w:p>
    <w:p w14:paraId="0BC44031">
      <w:pPr>
        <w:widowControl/>
        <w:rPr>
          <w:rFonts w:hint="eastAsia" w:ascii="仿宋" w:hAnsi="仿宋" w:eastAsia="仿宋" w:cs="宋体"/>
          <w:color w:val="484848"/>
          <w:kern w:val="0"/>
          <w:sz w:val="32"/>
          <w:szCs w:val="32"/>
        </w:rPr>
      </w:pPr>
    </w:p>
    <w:p w14:paraId="3842A6DB">
      <w:pPr>
        <w:widowControl/>
        <w:rPr>
          <w:rFonts w:hint="eastAsia" w:ascii="仿宋" w:hAnsi="仿宋" w:eastAsia="仿宋" w:cs="宋体"/>
          <w:color w:val="484848"/>
          <w:kern w:val="0"/>
          <w:sz w:val="32"/>
          <w:szCs w:val="32"/>
        </w:rPr>
      </w:pPr>
      <w:r>
        <w:rPr>
          <w:rFonts w:hint="eastAsia" w:ascii="仿宋" w:hAnsi="仿宋" w:eastAsia="仿宋" w:cs="宋体"/>
          <w:color w:val="484848"/>
          <w:kern w:val="0"/>
          <w:sz w:val="32"/>
          <w:szCs w:val="32"/>
        </w:rPr>
        <w:t>各省、自治区、直辖市及新疆生产建设兵团卫生健康委：</w:t>
      </w:r>
      <w:bookmarkStart w:id="0" w:name="_GoBack"/>
      <w:bookmarkEnd w:id="0"/>
    </w:p>
    <w:p w14:paraId="3DC81C95">
      <w:pPr>
        <w:widowControl/>
        <w:ind w:firstLine="480"/>
        <w:rPr>
          <w:rFonts w:hint="eastAsia" w:ascii="仿宋" w:hAnsi="仿宋" w:eastAsia="仿宋" w:cs="宋体"/>
          <w:color w:val="484848"/>
          <w:kern w:val="0"/>
          <w:sz w:val="32"/>
          <w:szCs w:val="32"/>
        </w:rPr>
      </w:pPr>
      <w:r>
        <w:rPr>
          <w:rFonts w:hint="eastAsia" w:ascii="仿宋" w:hAnsi="仿宋" w:eastAsia="仿宋" w:cs="宋体"/>
          <w:color w:val="484848"/>
          <w:kern w:val="0"/>
          <w:sz w:val="32"/>
          <w:szCs w:val="32"/>
        </w:rPr>
        <w:t>为落实中共中央办公厅、国务院办公厅《关于进一步完善医疗卫生服务体系的意见》和国家卫生健康委等13部门《关于优化基层医疗卫生机构布局建设的指导意见》（国卫基层发〔</w:t>
      </w:r>
      <w:r>
        <w:rPr>
          <w:rFonts w:hint="eastAsia" w:ascii="仿宋" w:hAnsi="仿宋" w:eastAsia="仿宋" w:cs="Times New Roman"/>
          <w:color w:val="484848"/>
          <w:kern w:val="0"/>
          <w:sz w:val="32"/>
          <w:szCs w:val="32"/>
        </w:rPr>
        <w:t>2025</w:t>
      </w:r>
      <w:r>
        <w:rPr>
          <w:rFonts w:hint="eastAsia" w:ascii="仿宋" w:hAnsi="仿宋" w:eastAsia="仿宋" w:cs="宋体"/>
          <w:color w:val="484848"/>
          <w:kern w:val="0"/>
          <w:sz w:val="32"/>
          <w:szCs w:val="32"/>
        </w:rPr>
        <w:t>〕</w:t>
      </w:r>
      <w:r>
        <w:rPr>
          <w:rFonts w:hint="eastAsia" w:ascii="仿宋" w:hAnsi="仿宋" w:eastAsia="仿宋" w:cs="Times New Roman"/>
          <w:color w:val="484848"/>
          <w:kern w:val="0"/>
          <w:sz w:val="32"/>
          <w:szCs w:val="32"/>
        </w:rPr>
        <w:t>2</w:t>
      </w:r>
      <w:r>
        <w:rPr>
          <w:rFonts w:hint="eastAsia" w:ascii="仿宋" w:hAnsi="仿宋" w:eastAsia="仿宋" w:cs="宋体"/>
          <w:color w:val="484848"/>
          <w:kern w:val="0"/>
          <w:sz w:val="32"/>
          <w:szCs w:val="32"/>
        </w:rPr>
        <w:t>号），现就进一步健全城市社区卫生服务体系、提升服务能力通知如下。</w:t>
      </w:r>
    </w:p>
    <w:p w14:paraId="68ABA3D1">
      <w:pPr>
        <w:widowControl/>
        <w:ind w:firstLine="480"/>
        <w:rPr>
          <w:rFonts w:hint="eastAsia" w:ascii="微软雅黑" w:hAnsi="微软雅黑" w:eastAsia="微软雅黑" w:cs="宋体"/>
          <w:color w:val="484848"/>
          <w:kern w:val="0"/>
          <w:sz w:val="32"/>
          <w:szCs w:val="32"/>
        </w:rPr>
      </w:pPr>
      <w:r>
        <w:rPr>
          <w:rFonts w:hint="eastAsia" w:ascii="黑体" w:hAnsi="黑体" w:eastAsia="黑体" w:cs="宋体"/>
          <w:color w:val="484848"/>
          <w:kern w:val="0"/>
          <w:sz w:val="32"/>
          <w:szCs w:val="32"/>
        </w:rPr>
        <w:t>一、目标要求</w:t>
      </w:r>
    </w:p>
    <w:p w14:paraId="5AC39039">
      <w:pPr>
        <w:widowControl/>
        <w:ind w:firstLine="480"/>
        <w:rPr>
          <w:rFonts w:hint="eastAsia" w:ascii="仿宋" w:hAnsi="仿宋" w:eastAsia="仿宋" w:cs="宋体"/>
          <w:color w:val="484848"/>
          <w:kern w:val="0"/>
          <w:sz w:val="32"/>
          <w:szCs w:val="32"/>
        </w:rPr>
      </w:pPr>
      <w:r>
        <w:rPr>
          <w:rFonts w:hint="eastAsia" w:ascii="仿宋" w:hAnsi="仿宋" w:eastAsia="仿宋" w:cs="宋体"/>
          <w:color w:val="484848"/>
          <w:kern w:val="0"/>
          <w:sz w:val="32"/>
          <w:szCs w:val="32"/>
        </w:rPr>
        <w:t>坚持以人民健康为中心，以基层为重点，落实“日常疾病在基层解决</w:t>
      </w:r>
      <w:r>
        <w:rPr>
          <w:rFonts w:hint="eastAsia" w:ascii="仿宋" w:hAnsi="仿宋" w:eastAsia="仿宋" w:cs="Times New Roman"/>
          <w:color w:val="484848"/>
          <w:kern w:val="0"/>
          <w:sz w:val="32"/>
          <w:szCs w:val="32"/>
        </w:rPr>
        <w:t>”</w:t>
      </w:r>
      <w:r>
        <w:rPr>
          <w:rFonts w:hint="eastAsia" w:ascii="仿宋" w:hAnsi="仿宋" w:eastAsia="仿宋" w:cs="宋体"/>
          <w:color w:val="484848"/>
          <w:kern w:val="0"/>
          <w:sz w:val="32"/>
          <w:szCs w:val="32"/>
        </w:rPr>
        <w:t>要求，适应城市人口聚集、需求增加趋势，进一步优化资源配置，完善服务功能，提升服务能力，构建体系完整、布局合理、分工明确、功能互补、运行高效、便利可及的城市社区卫生服务体系。到2030年，基本实现建制街道社区卫生服务中心全覆盖，社区卫生服务机构基础设施条件明显改善，数智化服务有序推进，服务能力全面提升，居民对社区卫生服务的信任度和满意度进一步提高，助力全方位、全生命周期保障居民健康。</w:t>
      </w:r>
    </w:p>
    <w:p w14:paraId="17828E9E">
      <w:pPr>
        <w:widowControl/>
        <w:ind w:firstLine="480"/>
        <w:rPr>
          <w:rFonts w:hint="eastAsia" w:ascii="微软雅黑" w:hAnsi="微软雅黑" w:eastAsia="微软雅黑" w:cs="宋体"/>
          <w:color w:val="484848"/>
          <w:kern w:val="0"/>
          <w:sz w:val="32"/>
          <w:szCs w:val="32"/>
        </w:rPr>
      </w:pPr>
      <w:r>
        <w:rPr>
          <w:rFonts w:hint="eastAsia" w:ascii="黑体" w:hAnsi="黑体" w:eastAsia="黑体" w:cs="宋体"/>
          <w:color w:val="484848"/>
          <w:kern w:val="0"/>
          <w:sz w:val="32"/>
          <w:szCs w:val="32"/>
        </w:rPr>
        <w:t>二、主要任务</w:t>
      </w:r>
    </w:p>
    <w:p w14:paraId="70290516">
      <w:pPr>
        <w:widowControl/>
        <w:ind w:firstLine="480"/>
        <w:rPr>
          <w:rFonts w:hint="eastAsia" w:ascii="微软雅黑" w:hAnsi="微软雅黑" w:eastAsia="微软雅黑" w:cs="宋体"/>
          <w:color w:val="484848"/>
          <w:kern w:val="0"/>
          <w:sz w:val="32"/>
          <w:szCs w:val="32"/>
        </w:rPr>
      </w:pPr>
      <w:r>
        <w:rPr>
          <w:rFonts w:hint="eastAsia" w:ascii="楷体" w:hAnsi="楷体" w:eastAsia="楷体" w:cs="宋体"/>
          <w:color w:val="484848"/>
          <w:kern w:val="0"/>
          <w:sz w:val="32"/>
          <w:szCs w:val="32"/>
        </w:rPr>
        <w:t>（一）实现社区卫生服务中心全覆盖。</w:t>
      </w:r>
      <w:r>
        <w:rPr>
          <w:rFonts w:hint="eastAsia" w:ascii="仿宋" w:hAnsi="仿宋" w:eastAsia="仿宋" w:cs="宋体"/>
          <w:color w:val="484848"/>
          <w:kern w:val="0"/>
          <w:sz w:val="32"/>
          <w:szCs w:val="32"/>
        </w:rPr>
        <w:t>原则上每个街道办好1所社区卫生服务中心。对未设置社区卫生服务中心的街道，根据地方实际依次通过辖区内政府办一级医院、其他医疗卫生机构转型为社区卫生服务中心，由二、三级医院延伸提供服务和确有必要的按标准新建等途径，动态消除基层医疗卫生服务空白。经评估确有必要的，可以通过政府购买公共服务方式引入社会力量举办医疗机构承担社区卫生服务中心功能任务。</w:t>
      </w:r>
    </w:p>
    <w:p w14:paraId="44ADF863">
      <w:pPr>
        <w:widowControl/>
        <w:ind w:firstLine="480"/>
        <w:rPr>
          <w:rFonts w:hint="eastAsia" w:ascii="微软雅黑" w:hAnsi="微软雅黑" w:eastAsia="微软雅黑" w:cs="宋体"/>
          <w:color w:val="484848"/>
          <w:kern w:val="0"/>
          <w:sz w:val="32"/>
          <w:szCs w:val="32"/>
        </w:rPr>
      </w:pPr>
      <w:r>
        <w:rPr>
          <w:rFonts w:hint="eastAsia" w:ascii="楷体" w:hAnsi="楷体" w:eastAsia="楷体" w:cs="宋体"/>
          <w:color w:val="484848"/>
          <w:kern w:val="0"/>
          <w:sz w:val="32"/>
          <w:szCs w:val="32"/>
        </w:rPr>
        <w:t>（二）织密织牢社区卫生服务网络。</w:t>
      </w:r>
      <w:r>
        <w:rPr>
          <w:rFonts w:hint="eastAsia" w:ascii="仿宋" w:hAnsi="仿宋" w:eastAsia="仿宋" w:cs="宋体"/>
          <w:color w:val="484848"/>
          <w:kern w:val="0"/>
          <w:sz w:val="32"/>
          <w:szCs w:val="32"/>
        </w:rPr>
        <w:t>人口规模大于10万人的街道，可以根据实际需要扩大现有社区卫生服务中心规模，确有必要的，也可以按程序规划增设</w:t>
      </w:r>
      <w:r>
        <w:rPr>
          <w:rFonts w:hint="eastAsia" w:ascii="仿宋" w:hAnsi="仿宋" w:eastAsia="仿宋" w:cs="Times New Roman"/>
          <w:color w:val="484848"/>
          <w:kern w:val="0"/>
          <w:sz w:val="32"/>
          <w:szCs w:val="32"/>
        </w:rPr>
        <w:t>1</w:t>
      </w:r>
      <w:r>
        <w:rPr>
          <w:rFonts w:hint="eastAsia" w:ascii="仿宋" w:hAnsi="仿宋" w:eastAsia="仿宋" w:cs="宋体"/>
          <w:color w:val="484848"/>
          <w:kern w:val="0"/>
          <w:sz w:val="32"/>
          <w:szCs w:val="32"/>
        </w:rPr>
        <w:t>所社区卫生服务中心，合理划分辖区服务人口，也可以根据需要由社区卫生服务中心增加设置社区卫生服务站，实行一体化管理。</w:t>
      </w:r>
    </w:p>
    <w:p w14:paraId="73760770">
      <w:pPr>
        <w:widowControl/>
        <w:ind w:firstLine="480"/>
        <w:rPr>
          <w:rFonts w:hint="eastAsia" w:ascii="微软雅黑" w:hAnsi="微软雅黑" w:eastAsia="微软雅黑" w:cs="宋体"/>
          <w:color w:val="484848"/>
          <w:kern w:val="0"/>
          <w:sz w:val="32"/>
          <w:szCs w:val="32"/>
        </w:rPr>
      </w:pPr>
      <w:r>
        <w:rPr>
          <w:rFonts w:hint="eastAsia" w:ascii="楷体" w:hAnsi="楷体" w:eastAsia="楷体" w:cs="宋体"/>
          <w:color w:val="484848"/>
          <w:kern w:val="0"/>
          <w:sz w:val="32"/>
          <w:szCs w:val="32"/>
        </w:rPr>
        <w:t>（三）强化人员配备和培训。</w:t>
      </w:r>
      <w:r>
        <w:rPr>
          <w:rFonts w:hint="eastAsia" w:ascii="仿宋" w:hAnsi="仿宋" w:eastAsia="仿宋" w:cs="宋体"/>
          <w:color w:val="484848"/>
          <w:kern w:val="0"/>
          <w:sz w:val="32"/>
          <w:szCs w:val="32"/>
        </w:rPr>
        <w:t>结合人口总量和结构变化趋势及社区医疗卫生服务发展需求，通过招聘、人员下沉派驻等多途径，配齐社区卫生服务机构各类医务人员，重点加强全科、儿科、中医、口腔、精神（心理）、康复、药学、护理、血液透析等专业人员配备。加强在岗人员技能培训和知识更新，统筹现有政策渠道，支持基层医务人员定期到二级及以上医院进修学习和培训。重点加强“一老一小”、精神（心理）等服务能力提升培训和医德医风、医学人文素养教育。</w:t>
      </w:r>
    </w:p>
    <w:p w14:paraId="5EB54E94">
      <w:pPr>
        <w:widowControl/>
        <w:ind w:firstLine="480"/>
        <w:rPr>
          <w:rFonts w:hint="eastAsia" w:ascii="微软雅黑" w:hAnsi="微软雅黑" w:eastAsia="微软雅黑" w:cs="宋体"/>
          <w:color w:val="484848"/>
          <w:kern w:val="0"/>
          <w:sz w:val="32"/>
          <w:szCs w:val="32"/>
        </w:rPr>
      </w:pPr>
      <w:r>
        <w:rPr>
          <w:rFonts w:hint="eastAsia" w:ascii="楷体" w:hAnsi="楷体" w:eastAsia="楷体" w:cs="宋体"/>
          <w:color w:val="484848"/>
          <w:kern w:val="0"/>
          <w:sz w:val="32"/>
          <w:szCs w:val="32"/>
        </w:rPr>
        <w:t>（四）根据需要拓展功能提升能力。</w:t>
      </w:r>
      <w:r>
        <w:rPr>
          <w:rFonts w:hint="eastAsia" w:ascii="仿宋" w:hAnsi="仿宋" w:eastAsia="仿宋" w:cs="宋体"/>
          <w:color w:val="484848"/>
          <w:kern w:val="0"/>
          <w:sz w:val="32"/>
          <w:szCs w:val="32"/>
        </w:rPr>
        <w:t>以妇女、儿童、老年人、慢性病患者、残疾人等为重点，扎实开展健康教育、预防保健、健康管理和一般常见病、慢性病的诊疗服务和用药指导。适应群众需求，在全科医疗、中医药、预防保健等服务基础上，积极拓展和扩大儿科、口腔、康复、精神（心理）、体重管理、血液透析等门诊服务，稳妥开展住院服务。以家庭医生签约服务为载体，积极开展家庭病床、居家康复护理等服务。</w:t>
      </w:r>
    </w:p>
    <w:p w14:paraId="6500D3B4">
      <w:pPr>
        <w:widowControl/>
        <w:ind w:firstLine="480"/>
        <w:rPr>
          <w:rFonts w:hint="eastAsia" w:ascii="微软雅黑" w:hAnsi="微软雅黑" w:eastAsia="微软雅黑" w:cs="宋体"/>
          <w:color w:val="484848"/>
          <w:kern w:val="0"/>
          <w:sz w:val="32"/>
          <w:szCs w:val="32"/>
        </w:rPr>
      </w:pPr>
      <w:r>
        <w:rPr>
          <w:rFonts w:hint="eastAsia" w:ascii="楷体" w:hAnsi="楷体" w:eastAsia="楷体" w:cs="宋体"/>
          <w:color w:val="484848"/>
          <w:kern w:val="0"/>
          <w:sz w:val="32"/>
          <w:szCs w:val="32"/>
        </w:rPr>
        <w:t>（五）扩大药品配备。</w:t>
      </w:r>
      <w:r>
        <w:rPr>
          <w:rFonts w:hint="eastAsia" w:ascii="仿宋" w:hAnsi="仿宋" w:eastAsia="仿宋" w:cs="宋体"/>
          <w:color w:val="484848"/>
          <w:kern w:val="0"/>
          <w:sz w:val="32"/>
          <w:szCs w:val="32"/>
        </w:rPr>
        <w:t>针对高血压、糖尿病、慢阻肺等慢性病患者和老年人、儿童等重点人群用药特点，适应上级医院下沉医师诊疗服务和下转患者连续用药需要，扩大社区卫生服务机构药品采购、配备、使用范围，常见病、慢性病药品配备剂型、规格、生产企业原则上与县区级医院保持一致。依托紧密型医联体，加强药品余缺调度和近效期药品处置。建立完善缺药登记和药品临时采购制度，接续做好上级医院开具的延伸处方服务。</w:t>
      </w:r>
    </w:p>
    <w:p w14:paraId="179C0DBA">
      <w:pPr>
        <w:widowControl/>
        <w:ind w:firstLine="480"/>
        <w:rPr>
          <w:rFonts w:hint="eastAsia" w:ascii="微软雅黑" w:hAnsi="微软雅黑" w:eastAsia="微软雅黑" w:cs="宋体"/>
          <w:color w:val="484848"/>
          <w:kern w:val="0"/>
          <w:sz w:val="32"/>
          <w:szCs w:val="32"/>
        </w:rPr>
      </w:pPr>
      <w:r>
        <w:rPr>
          <w:rFonts w:hint="eastAsia" w:ascii="楷体" w:hAnsi="楷体" w:eastAsia="楷体" w:cs="宋体"/>
          <w:color w:val="484848"/>
          <w:kern w:val="0"/>
          <w:sz w:val="32"/>
          <w:szCs w:val="32"/>
        </w:rPr>
        <w:t>（六）探索区级医院与社区卫生服务机构一体化管理。</w:t>
      </w:r>
      <w:r>
        <w:rPr>
          <w:rFonts w:hint="eastAsia" w:ascii="仿宋" w:hAnsi="仿宋" w:eastAsia="仿宋" w:cs="宋体"/>
          <w:color w:val="484848"/>
          <w:kern w:val="0"/>
          <w:sz w:val="32"/>
          <w:szCs w:val="32"/>
        </w:rPr>
        <w:t>对行政隶属关系相同的城市区属医疗卫生机构，参照县域医共体建设模式，在责任、管理、服务、利益等方面，加强区级医院与社区卫生服务机构一体化建设和管理发展。鼓励非政府办社区卫生服务机构以技术协作和服务协同为重点，参与“区社一体</w:t>
      </w:r>
      <w:r>
        <w:rPr>
          <w:rFonts w:hint="eastAsia" w:ascii="仿宋" w:hAnsi="仿宋" w:eastAsia="仿宋" w:cs="Times New Roman"/>
          <w:color w:val="484848"/>
          <w:kern w:val="0"/>
          <w:sz w:val="32"/>
          <w:szCs w:val="32"/>
        </w:rPr>
        <w:t>”</w:t>
      </w:r>
      <w:r>
        <w:rPr>
          <w:rFonts w:hint="eastAsia" w:ascii="仿宋" w:hAnsi="仿宋" w:eastAsia="仿宋" w:cs="宋体"/>
          <w:color w:val="484848"/>
          <w:kern w:val="0"/>
          <w:sz w:val="32"/>
          <w:szCs w:val="32"/>
        </w:rPr>
        <w:t>建设。地市级及以上医院分区包片加强城市区内医疗卫生机构的帮扶指导，建立健全技术支持、资源优化、业务协同、服务均质、药品联动等工作机制，形成</w:t>
      </w:r>
      <w:r>
        <w:rPr>
          <w:rFonts w:hint="eastAsia" w:ascii="仿宋" w:hAnsi="仿宋" w:eastAsia="仿宋" w:cs="Times New Roman"/>
          <w:color w:val="484848"/>
          <w:kern w:val="0"/>
          <w:sz w:val="32"/>
          <w:szCs w:val="32"/>
        </w:rPr>
        <w:t>“</w:t>
      </w:r>
      <w:r>
        <w:rPr>
          <w:rFonts w:hint="eastAsia" w:ascii="仿宋" w:hAnsi="仿宋" w:eastAsia="仿宋" w:cs="宋体"/>
          <w:color w:val="484848"/>
          <w:kern w:val="0"/>
          <w:sz w:val="32"/>
          <w:szCs w:val="32"/>
        </w:rPr>
        <w:t>区社一体、以市带区</w:t>
      </w:r>
      <w:r>
        <w:rPr>
          <w:rFonts w:hint="eastAsia" w:ascii="仿宋" w:hAnsi="仿宋" w:eastAsia="仿宋" w:cs="Times New Roman"/>
          <w:color w:val="484848"/>
          <w:kern w:val="0"/>
          <w:sz w:val="32"/>
          <w:szCs w:val="32"/>
        </w:rPr>
        <w:t>”</w:t>
      </w:r>
      <w:r>
        <w:rPr>
          <w:rFonts w:hint="eastAsia" w:ascii="仿宋" w:hAnsi="仿宋" w:eastAsia="仿宋" w:cs="宋体"/>
          <w:color w:val="484848"/>
          <w:kern w:val="0"/>
          <w:sz w:val="32"/>
          <w:szCs w:val="32"/>
        </w:rPr>
        <w:t>的发展模式。</w:t>
      </w:r>
    </w:p>
    <w:p w14:paraId="6C86067A">
      <w:pPr>
        <w:widowControl/>
        <w:ind w:firstLine="480"/>
        <w:rPr>
          <w:rFonts w:hint="eastAsia" w:ascii="微软雅黑" w:hAnsi="微软雅黑" w:eastAsia="微软雅黑" w:cs="宋体"/>
          <w:color w:val="484848"/>
          <w:kern w:val="0"/>
          <w:sz w:val="32"/>
          <w:szCs w:val="32"/>
        </w:rPr>
      </w:pPr>
      <w:r>
        <w:rPr>
          <w:rFonts w:hint="eastAsia" w:ascii="楷体" w:hAnsi="楷体" w:eastAsia="楷体" w:cs="宋体"/>
          <w:color w:val="484848"/>
          <w:kern w:val="0"/>
          <w:sz w:val="32"/>
          <w:szCs w:val="32"/>
        </w:rPr>
        <w:t>（七）做好人员下沉派驻。</w:t>
      </w:r>
      <w:r>
        <w:rPr>
          <w:rFonts w:hint="eastAsia" w:ascii="仿宋" w:hAnsi="仿宋" w:eastAsia="仿宋" w:cs="宋体"/>
          <w:color w:val="484848"/>
          <w:kern w:val="0"/>
          <w:sz w:val="32"/>
          <w:szCs w:val="32"/>
        </w:rPr>
        <w:t>市级卫生健康行政部门统筹，依托城市医疗集团、专科联盟和三级医院分区包片等网格化布局，安排城市二级及以上医院选派医务人员到社区卫生服务中心开展诊疗、查房、药学服务、带教、培训等工作。每个社区卫生服务中心至少有1名上级医院中级及以上职称医师长期派驻，合理安排药师、康复医师、高年资护理人员长期下沉派驻社区卫生服务中心，为</w:t>
      </w:r>
      <w:r>
        <w:rPr>
          <w:rFonts w:hint="eastAsia" w:ascii="仿宋" w:hAnsi="仿宋" w:eastAsia="仿宋" w:cs="Times New Roman"/>
          <w:color w:val="484848"/>
          <w:kern w:val="0"/>
          <w:sz w:val="32"/>
          <w:szCs w:val="32"/>
        </w:rPr>
        <w:t>“</w:t>
      </w:r>
      <w:r>
        <w:rPr>
          <w:rFonts w:hint="eastAsia" w:ascii="仿宋" w:hAnsi="仿宋" w:eastAsia="仿宋" w:cs="宋体"/>
          <w:color w:val="484848"/>
          <w:kern w:val="0"/>
          <w:sz w:val="32"/>
          <w:szCs w:val="32"/>
        </w:rPr>
        <w:t>一老一小</w:t>
      </w:r>
      <w:r>
        <w:rPr>
          <w:rFonts w:hint="eastAsia" w:ascii="仿宋" w:hAnsi="仿宋" w:eastAsia="仿宋" w:cs="Times New Roman"/>
          <w:color w:val="484848"/>
          <w:kern w:val="0"/>
          <w:sz w:val="32"/>
          <w:szCs w:val="32"/>
        </w:rPr>
        <w:t>”</w:t>
      </w:r>
      <w:r>
        <w:rPr>
          <w:rFonts w:hint="eastAsia" w:ascii="仿宋" w:hAnsi="仿宋" w:eastAsia="仿宋" w:cs="宋体"/>
          <w:color w:val="484848"/>
          <w:kern w:val="0"/>
          <w:sz w:val="32"/>
          <w:szCs w:val="32"/>
        </w:rPr>
        <w:t>等重点人群提供医疗、康复和护理指导。</w:t>
      </w:r>
    </w:p>
    <w:p w14:paraId="3398E2E6">
      <w:pPr>
        <w:widowControl/>
        <w:ind w:firstLine="480"/>
        <w:rPr>
          <w:rFonts w:hint="eastAsia" w:ascii="微软雅黑" w:hAnsi="微软雅黑" w:eastAsia="微软雅黑" w:cs="宋体"/>
          <w:color w:val="484848"/>
          <w:kern w:val="0"/>
          <w:sz w:val="32"/>
          <w:szCs w:val="32"/>
        </w:rPr>
      </w:pPr>
      <w:r>
        <w:rPr>
          <w:rFonts w:hint="eastAsia" w:ascii="楷体" w:hAnsi="楷体" w:eastAsia="楷体" w:cs="宋体"/>
          <w:color w:val="484848"/>
          <w:kern w:val="0"/>
          <w:sz w:val="32"/>
          <w:szCs w:val="32"/>
        </w:rPr>
        <w:t>（八）加强数智化赋能。</w:t>
      </w:r>
      <w:r>
        <w:rPr>
          <w:rFonts w:hint="eastAsia" w:ascii="仿宋" w:hAnsi="仿宋" w:eastAsia="仿宋" w:cs="宋体"/>
          <w:color w:val="484848"/>
          <w:kern w:val="0"/>
          <w:sz w:val="32"/>
          <w:szCs w:val="32"/>
        </w:rPr>
        <w:t>探索在城市社区卫生服务机构推广应用医学人工智能辅助诊断、处方前置审核、语音病历信息自动采集辅助书写等技术，提高医务人员诊疗效率。加强基本公共卫生服务、家庭医生服务数智化赋能，提高服务效率和及时性，提高健康管理精准度。合理利用人工智能加强病历、处方、医嘱等辅助审核，提高医学文书管理水平。加强社区卫生服务机构与上级医院数智系统联通和标准统一，促进检查检验结果互认。</w:t>
      </w:r>
    </w:p>
    <w:p w14:paraId="2FC9F7CB">
      <w:pPr>
        <w:widowControl/>
        <w:ind w:firstLine="480"/>
        <w:rPr>
          <w:rFonts w:hint="eastAsia" w:ascii="微软雅黑" w:hAnsi="微软雅黑" w:eastAsia="微软雅黑" w:cs="宋体"/>
          <w:color w:val="484848"/>
          <w:kern w:val="0"/>
          <w:sz w:val="32"/>
          <w:szCs w:val="32"/>
        </w:rPr>
      </w:pPr>
      <w:r>
        <w:rPr>
          <w:rFonts w:hint="eastAsia" w:ascii="黑体" w:hAnsi="黑体" w:eastAsia="黑体" w:cs="宋体"/>
          <w:color w:val="484848"/>
          <w:kern w:val="0"/>
          <w:sz w:val="32"/>
          <w:szCs w:val="32"/>
        </w:rPr>
        <w:t>三、加强管理和组织实施</w:t>
      </w:r>
    </w:p>
    <w:p w14:paraId="16CA945B">
      <w:pPr>
        <w:widowControl/>
        <w:ind w:firstLine="480"/>
        <w:rPr>
          <w:rFonts w:hint="eastAsia" w:ascii="仿宋" w:hAnsi="仿宋" w:eastAsia="仿宋" w:cs="宋体"/>
          <w:color w:val="484848"/>
          <w:kern w:val="0"/>
          <w:sz w:val="32"/>
          <w:szCs w:val="32"/>
        </w:rPr>
      </w:pPr>
      <w:r>
        <w:rPr>
          <w:rFonts w:hint="eastAsia" w:ascii="仿宋" w:hAnsi="仿宋" w:eastAsia="仿宋" w:cs="宋体"/>
          <w:color w:val="484848"/>
          <w:kern w:val="0"/>
          <w:sz w:val="32"/>
          <w:szCs w:val="32"/>
        </w:rPr>
        <w:t>各地卫生健康行政部门要积极争取有关部门支持，推动将城市社区卫生服务体系建设纳入本地国民经济和社会发展规划，并作为“十五五</w:t>
      </w:r>
      <w:r>
        <w:rPr>
          <w:rFonts w:hint="eastAsia" w:ascii="仿宋" w:hAnsi="仿宋" w:eastAsia="仿宋" w:cs="Times New Roman"/>
          <w:color w:val="484848"/>
          <w:kern w:val="0"/>
          <w:sz w:val="32"/>
          <w:szCs w:val="32"/>
        </w:rPr>
        <w:t>”</w:t>
      </w:r>
      <w:r>
        <w:rPr>
          <w:rFonts w:hint="eastAsia" w:ascii="仿宋" w:hAnsi="仿宋" w:eastAsia="仿宋" w:cs="宋体"/>
          <w:color w:val="484848"/>
          <w:kern w:val="0"/>
          <w:sz w:val="32"/>
          <w:szCs w:val="32"/>
        </w:rPr>
        <w:t>医疗卫生服务体系建设重点。开展社区卫生服务机构和医疗资源布局摸底调查，对尚未设置社区卫生服务中心的街道和社区卫生服务未覆盖的社区，研判原因，结合实际优化社区卫生服务机构布局，根据有关规划抓紧制定切实可行的工作方案，建立台账，积极协调推进。结合城市更新行动，社区卫生服务机构与新建、改建居民区同步规划建设。区（市）级卫生健康行政部门要落实日常监管责任，严格新设机构准入审核审批。加强政策宣传和舆论引导，为健全城市社区卫生服务体系营造良好政策环境和舆论氛围。</w:t>
      </w:r>
    </w:p>
    <w:p w14:paraId="51FCF1C6">
      <w:pPr>
        <w:widowControl/>
        <w:ind w:firstLine="480"/>
        <w:rPr>
          <w:rFonts w:hint="eastAsia" w:ascii="仿宋" w:hAnsi="仿宋" w:eastAsia="仿宋" w:cs="宋体"/>
          <w:color w:val="484848"/>
          <w:kern w:val="0"/>
          <w:sz w:val="32"/>
          <w:szCs w:val="32"/>
        </w:rPr>
      </w:pPr>
    </w:p>
    <w:p w14:paraId="5E3F5C24">
      <w:pPr>
        <w:widowControl/>
        <w:ind w:firstLine="480"/>
        <w:rPr>
          <w:rFonts w:hint="eastAsia" w:ascii="仿宋" w:hAnsi="仿宋" w:eastAsia="仿宋" w:cs="宋体"/>
          <w:color w:val="484848"/>
          <w:kern w:val="0"/>
          <w:sz w:val="32"/>
          <w:szCs w:val="32"/>
        </w:rPr>
      </w:pPr>
    </w:p>
    <w:p w14:paraId="0964C441">
      <w:pPr>
        <w:widowControl/>
        <w:ind w:firstLine="480"/>
        <w:jc w:val="right"/>
        <w:rPr>
          <w:rFonts w:hint="eastAsia" w:ascii="仿宋" w:hAnsi="仿宋" w:eastAsia="仿宋" w:cs="宋体"/>
          <w:color w:val="484848"/>
          <w:kern w:val="0"/>
          <w:sz w:val="32"/>
          <w:szCs w:val="32"/>
        </w:rPr>
      </w:pPr>
      <w:r>
        <w:rPr>
          <w:rFonts w:hint="eastAsia" w:ascii="仿宋" w:hAnsi="仿宋" w:eastAsia="仿宋" w:cs="宋体"/>
          <w:color w:val="484848"/>
          <w:kern w:val="0"/>
          <w:sz w:val="32"/>
          <w:szCs w:val="32"/>
        </w:rPr>
        <w:t>国家卫生健康委办公厅</w:t>
      </w:r>
    </w:p>
    <w:p w14:paraId="30433D9D">
      <w:pPr>
        <w:widowControl/>
        <w:ind w:firstLine="480"/>
        <w:jc w:val="right"/>
        <w:rPr>
          <w:rFonts w:hint="eastAsia" w:ascii="仿宋" w:hAnsi="仿宋" w:eastAsia="仿宋" w:cs="宋体"/>
          <w:color w:val="484848"/>
          <w:kern w:val="0"/>
          <w:sz w:val="32"/>
          <w:szCs w:val="32"/>
        </w:rPr>
      </w:pPr>
      <w:r>
        <w:rPr>
          <w:rFonts w:hint="eastAsia" w:ascii="仿宋" w:hAnsi="仿宋" w:eastAsia="仿宋" w:cs="宋体"/>
          <w:color w:val="484848"/>
          <w:kern w:val="0"/>
          <w:sz w:val="32"/>
          <w:szCs w:val="32"/>
        </w:rPr>
        <w:t>2026年5月29日</w:t>
      </w:r>
    </w:p>
    <w:p w14:paraId="0F2618E1">
      <w:pPr>
        <w:widowControl/>
        <w:ind w:firstLine="480"/>
        <w:rPr>
          <w:rFonts w:hint="eastAsia" w:ascii="仿宋" w:hAnsi="仿宋" w:eastAsia="仿宋" w:cs="宋体"/>
          <w:color w:val="484848"/>
          <w:kern w:val="0"/>
          <w:sz w:val="32"/>
          <w:szCs w:val="32"/>
        </w:rPr>
      </w:pPr>
    </w:p>
    <w:p w14:paraId="6608276E">
      <w:pPr>
        <w:widowControl/>
        <w:ind w:firstLine="480"/>
        <w:rPr>
          <w:rFonts w:hint="eastAsia" w:ascii="仿宋" w:hAnsi="仿宋" w:eastAsia="仿宋" w:cs="宋体"/>
          <w:color w:val="484848"/>
          <w:kern w:val="0"/>
          <w:sz w:val="32"/>
          <w:szCs w:val="32"/>
        </w:rPr>
      </w:pPr>
      <w:r>
        <w:rPr>
          <w:rFonts w:hint="eastAsia" w:ascii="仿宋" w:hAnsi="仿宋" w:eastAsia="仿宋" w:cs="宋体"/>
          <w:color w:val="484848"/>
          <w:kern w:val="0"/>
          <w:sz w:val="32"/>
          <w:szCs w:val="32"/>
        </w:rPr>
        <w:t>（信息公开形式：主动公开）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C100B"/>
    <w:rsid w:val="002C100B"/>
    <w:rsid w:val="007679DC"/>
    <w:rsid w:val="0C1E3A88"/>
    <w:rsid w:val="1D9D0567"/>
    <w:rsid w:val="499250B2"/>
    <w:rsid w:val="7A716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semiHidden/>
    <w:unhideWhenUsed/>
    <w:qFormat/>
    <w:uiPriority w:val="99"/>
    <w:rPr>
      <w:color w:val="0000FF"/>
      <w:u w:val="single"/>
    </w:rPr>
  </w:style>
  <w:style w:type="character" w:customStyle="1" w:styleId="7">
    <w:name w:val="mr"/>
    <w:basedOn w:val="5"/>
    <w:qFormat/>
    <w:uiPriority w:val="0"/>
  </w:style>
  <w:style w:type="character" w:customStyle="1" w:styleId="8">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2254</Words>
  <Characters>2269</Characters>
  <Lines>17</Lines>
  <Paragraphs>4</Paragraphs>
  <TotalTime>1</TotalTime>
  <ScaleCrop>false</ScaleCrop>
  <LinksUpToDate>false</LinksUpToDate>
  <CharactersWithSpaces>2270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2026-06-11T01:33:00Z</dcterms:created>
  <dc:creator>NTKO</dc:creator>
  <cp:lastModifiedBy>何福林</cp:lastModifiedBy>
  <dcterms:modified xsi:type="dcterms:W3CDTF">2026-06-11T02:15:49Z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eyJoZGlkIjoiZDI3YTI5NjljZDhmYzExZGVjMDEyYzBjMzFiZTQ1MWMiLCJ1c2VySWQiOiIzNTY2NDI3MTkifQ==</vt:lpwstr>
  </property>
  <property fmtid="{D5CDD505-2E9C-101B-9397-08002B2CF9AE}" pid="3" name="KSOProductBuildVer">
    <vt:lpwstr>2052-12.1.0.26895</vt:lpwstr>
  </property>
  <property fmtid="{D5CDD505-2E9C-101B-9397-08002B2CF9AE}" pid="4" name="ICV">
    <vt:lpwstr>EE0E26B9D91545E4B0AB3AFED8D27889_12</vt:lpwstr>
  </property>
</Properties>
</file>