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BB816">
      <w:pPr>
        <w:widowControl/>
        <w:jc w:val="center"/>
        <w:rPr>
          <w:rFonts w:ascii="华文中宋" w:hAnsi="华文中宋" w:eastAsia="华文中宋" w:cs="华文中宋"/>
          <w:sz w:val="36"/>
          <w:szCs w:val="36"/>
        </w:rPr>
      </w:pPr>
      <w:r>
        <w:rPr>
          <w:rFonts w:hint="eastAsia" w:ascii="华文中宋" w:hAnsi="华文中宋" w:eastAsia="华文中宋" w:cs="华文中宋"/>
          <w:sz w:val="36"/>
          <w:szCs w:val="36"/>
        </w:rPr>
        <w:t>南京市妇幼保健院</w:t>
      </w:r>
    </w:p>
    <w:p w14:paraId="2B9A6A54">
      <w:pPr>
        <w:widowControl/>
        <w:jc w:val="center"/>
        <w:rPr>
          <w:rFonts w:ascii="华文中宋" w:hAnsi="华文中宋" w:eastAsia="华文中宋" w:cs="华文中宋"/>
          <w:sz w:val="36"/>
          <w:szCs w:val="36"/>
        </w:rPr>
      </w:pPr>
      <w:r>
        <w:rPr>
          <w:rFonts w:hint="eastAsia" w:ascii="华文中宋" w:hAnsi="华文中宋" w:eastAsia="华文中宋" w:cs="华文中宋"/>
          <w:sz w:val="36"/>
          <w:szCs w:val="36"/>
        </w:rPr>
        <w:t>2024年整体绩效评价报告</w:t>
      </w:r>
    </w:p>
    <w:p w14:paraId="3A28ECBD">
      <w:pPr>
        <w:widowControl/>
        <w:spacing w:line="400" w:lineRule="exact"/>
        <w:jc w:val="center"/>
        <w:rPr>
          <w:rFonts w:ascii="华文中宋" w:hAnsi="华文中宋" w:eastAsia="华文中宋" w:cs="华文中宋"/>
          <w:sz w:val="32"/>
          <w:szCs w:val="32"/>
        </w:rPr>
      </w:pPr>
    </w:p>
    <w:p w14:paraId="398621B0">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14:paraId="7435B99C">
      <w:pPr>
        <w:spacing w:line="560" w:lineRule="exact"/>
        <w:ind w:firstLine="643" w:firstLineChars="200"/>
        <w:rPr>
          <w:rFonts w:ascii="仿宋_GB2312" w:hAnsi="宋体" w:eastAsia="仿宋_GB2312"/>
          <w:b/>
          <w:sz w:val="32"/>
          <w:szCs w:val="32"/>
        </w:rPr>
      </w:pPr>
      <w:r>
        <w:rPr>
          <w:rFonts w:hint="eastAsia" w:ascii="仿宋_GB2312" w:hAnsi="宋体" w:eastAsia="仿宋_GB2312" w:cs="宋体"/>
          <w:b/>
          <w:color w:val="000000"/>
          <w:kern w:val="0"/>
          <w:sz w:val="32"/>
          <w:szCs w:val="32"/>
        </w:rPr>
        <w:t>（一）部门</w:t>
      </w:r>
      <w:r>
        <w:rPr>
          <w:rFonts w:hint="eastAsia" w:ascii="仿宋_GB2312" w:hAnsi="宋体" w:eastAsia="仿宋_GB2312"/>
          <w:b/>
          <w:sz w:val="32"/>
          <w:szCs w:val="32"/>
        </w:rPr>
        <w:t>基本情况</w:t>
      </w:r>
    </w:p>
    <w:p w14:paraId="627361EB">
      <w:pPr>
        <w:pStyle w:val="6"/>
        <w:spacing w:before="0" w:beforeAutospacing="0" w:after="0" w:afterAutospacing="0" w:line="50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南京市妇幼保健院创建于1936年，前身为国立中央高级助产职业学校附设产院，现为南京医科大学附属妇产医院、国家级爱婴医院、省内首家三级甲等妇幼保健院，南京市妇女保健所、儿童保健所、新生儿疾病筛查中心、南京市妇幼保健计划生育服务中心均设于院内。医院集保健、医疗、教学、科研为一体，始终坚持“以保健为中心、以保障生殖健康为目的，保健与临床相结合，面向群体、面向基层和预防为主”的妇幼卫生工作方针，常年为群众提供多层次、全方位健康保健和疾病预防诊疗服务。</w:t>
      </w:r>
    </w:p>
    <w:p w14:paraId="14E89A89">
      <w:pPr>
        <w:pStyle w:val="6"/>
        <w:spacing w:before="0" w:beforeAutospacing="0" w:after="0" w:afterAutospacing="0" w:line="50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医院核定床位1500张。现有莫愁路、丁家庄两个院区，其中莫愁路院区总建筑面积10.63万平方米；2024年9月正式启用的丁家庄院区总建筑面积29.3万平方米。</w:t>
      </w:r>
    </w:p>
    <w:p w14:paraId="2BC4B3B2">
      <w:pPr>
        <w:pStyle w:val="6"/>
        <w:spacing w:before="0" w:beforeAutospacing="0" w:after="0" w:afterAutospacing="0" w:line="50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在最新公布的2023年度全国三级公立医院妇产医院（含妇幼保健院）绩效监测中获最高等级A级；在2023年度全国三级妇幼保健院绩效监测中获最高等级A++级，综合实力稳居全国妇幼健康领域“第一方阵”。获批江苏省第一批高水平妇幼保健院建设单位。</w:t>
      </w:r>
    </w:p>
    <w:p w14:paraId="5FD6E99E">
      <w:pPr>
        <w:pStyle w:val="6"/>
        <w:spacing w:before="0" w:beforeAutospacing="0" w:after="0" w:afterAutospacing="0" w:line="50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医院以“强专科、精综合”为原则，以女性全生命周期健康管理服务为主线，构筑“围产医学部、儿童健康部、女性健康部、生殖健康部、综合诊疗部、平台学科部”六大部。通过持续强化传统的产科、妇科、新生儿科、麻醉科、产前诊断（遗传）研究室、中医科等重点专科，持续做大做强老牌学科。通过聚力发展血液净化中心、消化内镜中心、健康体检中心、小儿外科、疼痛科等特色科室，稳步做精做细新兴学科。通过精心打造重症医学科、综合内科、普外科、急诊医学科等支撑科室，深入提高综合救治能力。医院妇科获批国家临床重点专科建设项目，妇产科学为省“十四五”卫生健康科教能力提升工程之省医学重点学科；有省级临床重点专科5个、省级中医临床重点专科1个，市级医学重点专科11个、省妇幼保健重点学科4个。医院先后获批国家级儿童早期发展示范基地、国家孕产期保健特色专科、国家新生儿保健特色专科、国家更年期保健特色专科、国家孕前保健特色专科等。</w:t>
      </w:r>
    </w:p>
    <w:p w14:paraId="32E4BDB4">
      <w:pPr>
        <w:pStyle w:val="6"/>
        <w:spacing w:before="0" w:beforeAutospacing="0" w:after="0" w:afterAutospacing="0" w:line="50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医院着力推进医教研齐头并进，现为国家级住院医师规范化培训基地、国家级博士后科研工作站、南京医科大学生殖医学与子代健康全国重点实验室附属妇产医院分中心、南京市临床医学中心、南京市女性生育力保护及重塑医学重点实验室等。近五年获批国家重点研发计划课题、国家自然科学基金75项、省市级项目400余项；获各类科技成果奖26项，其中省部级科技成果奖17项，获各类新技术引进奖52项，其中省级以上新技术引进奖24项；在N Engl J Med、Nature、Nature medicine、Nature communications等权威期刊发表研究论文600余篇；获批专利和软件著作权235项，完成科技成果转化10余项。在中国医学院校/中国医院五年总科技量值（ASTEM）排行榜中，妇产科学第20名（全省第一）、儿科学第34名、整形外科学第40名、麻醉学第77名、泌尿外科学第100名。</w:t>
      </w:r>
    </w:p>
    <w:p w14:paraId="1CC469E9">
      <w:pPr>
        <w:pStyle w:val="6"/>
        <w:spacing w:before="0" w:beforeAutospacing="0" w:after="0" w:afterAutospacing="0" w:line="50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医院在国内率先打造卫健系统“家”文化品牌，服务内涵围绕全生命周期，从单纯疾病诊治到服务于患者个体，延伸至关注其整个家庭。开创产科门诊“一医一护一诊室”、产科病区母婴床旁护理新模式，省内首开二胎咨询门诊，增设产科专病、特色门诊，成立高级专家会诊中心；加强病员服务中心建设，拓宽预约挂号渠道，优化分时段就诊，升级微导诊服务；成立国内第二家、华东地区首家纯公益性质母乳库，助力完善极低、超低出生体重儿救治与发展性照顾体系；推进“智慧医院”建设，2019年6月顺利通过国家电子病历系统功能应用水平分级评价五级评审（江苏省首批），2021年7月通过全国医院信息互联互通标准化成熟度测评四级甲等评审，2024年11月通过全国医院智慧服务分级评估三级评审；在全国率先试点女性全生命周期健康管理，以院内转诊转介功能模块为手段，搭建女性全生命周期智能化健康管理系统。</w:t>
      </w:r>
    </w:p>
    <w:p w14:paraId="622D3081">
      <w:pPr>
        <w:pStyle w:val="6"/>
        <w:spacing w:before="0" w:beforeAutospacing="0" w:after="0" w:afterAutospacing="0" w:line="50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医院充分发挥辐射带动作用，健全三级妇幼保健网络体系，担负全市近200家医疗保健机构妇幼保健工作的业务培训、指导和质量管理，与125家基层单位建立双向转诊合作，促进基层人员服务能力不断提升。主动融入南京都市圈和长三角区域一体化发展，在省内率先成立妇幼保健专科联盟，现有集团成员单位41家、专科联盟成员单位8家、南京市内医联体成员单位23家，在“互联网+分级诊疗”的推动下，形成区域内补位发展模式，持续推进优质医疗资源扩容和均衡布局，不断满足群众多层次多样化妇幼健康服务需求。</w:t>
      </w:r>
    </w:p>
    <w:p w14:paraId="2D49E70F">
      <w:pPr>
        <w:pStyle w:val="6"/>
        <w:spacing w:before="0" w:beforeAutospacing="0" w:after="0" w:afterAutospacing="0" w:line="500" w:lineRule="exact"/>
        <w:ind w:firstLine="640" w:firstLineChars="200"/>
        <w:jc w:val="both"/>
        <w:rPr>
          <w:rFonts w:ascii="仿宋" w:hAnsi="仿宋" w:eastAsia="仿宋" w:cs="仿宋"/>
          <w:color w:val="000000" w:themeColor="text1"/>
          <w:sz w:val="32"/>
          <w:szCs w:val="32"/>
        </w:rPr>
      </w:pPr>
      <w:r>
        <w:rPr>
          <w:rFonts w:ascii="Times New Roman" w:hAnsi="Times New Roman" w:eastAsia="仿宋" w:cs="Times New Roman"/>
          <w:color w:val="000000" w:themeColor="text1"/>
          <w:kern w:val="2"/>
          <w:sz w:val="32"/>
          <w:szCs w:val="32"/>
        </w:rPr>
        <w:t>医院秉承“厚德、爱生、精进、释悦”之院训，以全生命周期健康管理服务为主线，护佑妇女儿童健康为己任，努力打造国际知名、国内一流、省内示范的高水平妇幼保健院，为全方位、全周期保障人民群众特别是妇女儿童的健康贡献力量。</w:t>
      </w:r>
    </w:p>
    <w:p w14:paraId="3772D26C">
      <w:pPr>
        <w:spacing w:line="560" w:lineRule="exact"/>
        <w:ind w:firstLine="643" w:firstLineChars="200"/>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（二）部门收支情况</w:t>
      </w:r>
    </w:p>
    <w:p w14:paraId="55924F55">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1.预算执行</w:t>
      </w:r>
    </w:p>
    <w:p w14:paraId="42D1FCBD">
      <w:pPr>
        <w:pStyle w:val="4"/>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（1）部门预算与专项资金执行率</w:t>
      </w:r>
    </w:p>
    <w:p w14:paraId="127F07BB">
      <w:pPr>
        <w:pStyle w:val="4"/>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2024年年初部门预算批准下达资金合计4334.01万元，因年中财政缩紧开支收回财政预算资金671.80万元，全年实际执行年初预算资金3662.21万元，财政资金全部执行完毕，执行率为100%。</w:t>
      </w:r>
    </w:p>
    <w:p w14:paraId="0756BFBB">
      <w:pPr>
        <w:pStyle w:val="4"/>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年中追加一般财政专项资金34791.21万元，截至年末共使用29567.20万元，财政资金执行率为84.98%；财政用其他政府性基金债务收入安排的丁家庄院区建设资金41000万元，全部执行完毕，执行率为100%。</w:t>
      </w:r>
    </w:p>
    <w:p w14:paraId="035E89F6">
      <w:pPr>
        <w:pStyle w:val="4"/>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综合全年情况，财政共下达资金额度为82259.34万元，全年财政资金使用金额为74229.41万元（下达资金和使用资金均包括2020年度、2021年度、2022年度和2023年度未使用完的财政资金2805.92万元），年末未使用完资金转回医院，在2025年财政可继续使用的金额为8373.37万元（其中丁家庄院区开办费剩余2981.20万元、高水平妇幼保健院建设资金剩余4241.22万元），均为一般财政专项资金。2024年全年财政总体资金执行率为90.24%。</w:t>
      </w:r>
    </w:p>
    <w:p w14:paraId="06E7C3E8">
      <w:pPr>
        <w:pStyle w:val="4"/>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算执行时属于政府采购目录内的产品均按规定上报财政预算系统，并严格按照预算限额进行招标。属于进口产品且预算单项或合计金额达到政府采购限额以上的进口医疗设备，必须在采购计划实施前向财政部门提出申请，填写相应表格，待批复后方可执行。向财政部门申请的医疗设备专项资金专款专用。医疗设备专项资金预算，均按财政部门规定的期限内执行完毕。</w:t>
      </w:r>
    </w:p>
    <w:p w14:paraId="3E553B5B">
      <w:pPr>
        <w:pStyle w:val="4"/>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年全年莫愁路院区医疗设备采购预算总计1905.08万元，执行预算1675.424万元，实际采购金额1530.7337万元，年预算执行率87.95%。2024年全年丁家庄院区医疗设备采购预算总计8832.52万元，执行预算7481.2万元，实际采购金额6090.3436万元，年预算执行率84.7%。</w:t>
      </w:r>
    </w:p>
    <w:p w14:paraId="690CFFA8">
      <w:pPr>
        <w:pStyle w:val="4"/>
        <w:spacing w:line="52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（2）“三公”经费</w:t>
      </w:r>
    </w:p>
    <w:p w14:paraId="4651DE64">
      <w:pPr>
        <w:spacing w:line="50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按照国家及省、市、上级主管部门关于公务接待的规定要求，严格执行《南京市妇幼保健院公务接待制度》。建立公务接待审批控制机制，公务接待实行电子审批流程，由各部门分管院领导负责把关、规范审批，严禁无公函、无审批、无备案接待。将OA流程“公务接待申请”与“公务接待报销”改为串联流程审批，通过OA中“待办流程提醒”功能进行督促，有效解决了在院内膳食中心执行公务接待任务后，公务接待清单报销流程存在个别拖滞的情况。</w:t>
      </w:r>
    </w:p>
    <w:p w14:paraId="66AA0D4C">
      <w:pPr>
        <w:spacing w:line="520" w:lineRule="exact"/>
        <w:ind w:firstLine="640" w:firstLineChars="200"/>
        <w:rPr>
          <w:rFonts w:ascii="仿宋" w:hAnsi="仿宋" w:eastAsia="仿宋" w:cs="仿宋"/>
          <w:sz w:val="32"/>
          <w:szCs w:val="32"/>
        </w:rPr>
      </w:pPr>
      <w:r>
        <w:rPr>
          <w:rFonts w:hint="eastAsia" w:ascii="Times New Roman" w:hAnsi="Times New Roman" w:eastAsia="仿宋_GB2312"/>
          <w:sz w:val="32"/>
          <w:szCs w:val="32"/>
        </w:rPr>
        <w:t>2024</w:t>
      </w:r>
      <w:r>
        <w:rPr>
          <w:rFonts w:hint="eastAsia" w:ascii="仿宋_GB2312" w:hAnsi="Times New Roman" w:eastAsia="仿宋_GB2312"/>
          <w:sz w:val="32"/>
          <w:szCs w:val="32"/>
        </w:rPr>
        <w:t>年驾驶班严格执行“三公”经费使用制度，车辆维修方面做到维修要求必须在合同签订的维修单位进行定点维修（新港汽车修理厂），汽车加油卡定点在中国石化加油站，实行一车一卡，固定车号，严格执行车辆派遣制度，杜绝公车私用，擅自改变行车路线。</w:t>
      </w:r>
    </w:p>
    <w:p w14:paraId="646163DE">
      <w:pPr>
        <w:pStyle w:val="4"/>
        <w:spacing w:line="52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（3）预决算信息公开情况</w:t>
      </w:r>
    </w:p>
    <w:p w14:paraId="2301163E">
      <w:pPr>
        <w:pStyle w:val="4"/>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每年预算审批通过后，均在医院政务OA平台中的部门信息发布，同时上交主管部门备案。（部门信息发布情况见下图）</w:t>
      </w:r>
    </w:p>
    <w:p w14:paraId="579581AB">
      <w:pPr>
        <w:pStyle w:val="4"/>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drawing>
          <wp:inline distT="0" distB="0" distL="114300" distR="114300">
            <wp:extent cx="5272405" cy="1928495"/>
            <wp:effectExtent l="0" t="0" r="4445" b="1460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272405" cy="1928495"/>
                    </a:xfrm>
                    <a:prstGeom prst="rect">
                      <a:avLst/>
                    </a:prstGeom>
                  </pic:spPr>
                </pic:pic>
              </a:graphicData>
            </a:graphic>
          </wp:inline>
        </w:drawing>
      </w:r>
    </w:p>
    <w:p w14:paraId="1BEBA136">
      <w:pPr>
        <w:spacing w:line="520" w:lineRule="exact"/>
        <w:rPr>
          <w:rFonts w:ascii="Times New Roman" w:hAnsi="Times New Roman" w:eastAsia="仿宋_GB2312" w:cs="仿宋_GB2312"/>
          <w:b/>
          <w:bCs/>
          <w:sz w:val="32"/>
          <w:szCs w:val="32"/>
        </w:rPr>
      </w:pPr>
    </w:p>
    <w:p w14:paraId="28BED44E">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2.收支管理</w:t>
      </w:r>
    </w:p>
    <w:p w14:paraId="7AFEBE57">
      <w:pPr>
        <w:pStyle w:val="6"/>
        <w:shd w:val="clear" w:color="auto" w:fill="FFFFFF"/>
        <w:spacing w:before="0" w:beforeAutospacing="0" w:after="0" w:afterAutospacing="0"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了加强医院管理，提高医院财务管理水平和会计信息质量，依据《中华人民共和国会计法》、财政部颁发的《事业单位财务规则》、《医院财务制度》、《医院会计制度》等法规制度，制定《南京市妇幼保健院收入支出管理制度》。</w:t>
      </w:r>
    </w:p>
    <w:p w14:paraId="66163E3F">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）收入管理制度</w:t>
      </w:r>
    </w:p>
    <w:p w14:paraId="6CAA871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各类会计及相关人员的岗位责任制，明确相关岗位的职责和权限；合理设置岗位，加强制约和监管，确保提供服务与收取费用、价格管理与价格执行、收入票据保管与使用、办理退费与退费审批、收入经办与收入稽核等不相容职务相互分离；收入的取得应符合国家有关法律法规和政策规定，取得的各项收入必须开具统一规定的票据，严格按照医疗机构财务会计制度规定确认、核算收入；医疗机构各项收入由财务部门统一核算、统一管理，其他任何部门和个人不得收取款项，严禁设立账外账；制定收入管理业务流程，重点控制门诊和住院结算收入。</w:t>
      </w:r>
    </w:p>
    <w:p w14:paraId="4CB5649E">
      <w:pPr>
        <w:spacing w:line="52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）支出管理制度</w:t>
      </w:r>
    </w:p>
    <w:p w14:paraId="2B8C52E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支出管理制度和岗位责任制，明确相关部门和岗位的职责、权限，确保支出的申请与审批、审批与执行、执行与审核、审核与付款结算等不相容职务相互分离，合理设置岗位，加强制约和监督；各项支出必须符合国家有关财经法规和制度，按照医疗机构财务会计制度的规定确认、核算支出，医疗机构不得由同一部门或个人办理支出业务的全过程；各项支出必须按照医疗机构年度预算计划，实行归口管理；制定支出及成本费用的申请、审批、审核、支付程序等制度，按照有关要求确定并执行开支范围及标准；明确支出及成本费用审批权限、程序、责任和相关控制措施，审批人必须在授权范围内进行审批，经办人必须按照审批意见办理；建立支出核算控制制度，规范成本核算的程序和方法，建立成本考核指标体系、成本分析评价体系和成本信息反馈体系，客观评价经营成果和经营行为，提高医疗机构经营质量；加强项目资金的管理，医院从财政部门或主管部门取得的有指定用途的项目资金应当严格按照项目专款专用，不得挪用；勤俭节约、提高资金的使用效益。</w:t>
      </w:r>
    </w:p>
    <w:p w14:paraId="0043035A">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3.资产管理</w:t>
      </w:r>
    </w:p>
    <w:p w14:paraId="3482BBC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为加强医院固定资产管理，根据有关固定资产管理文件，结合医院管理实际情况，制定固定资产管理办法。</w:t>
      </w:r>
    </w:p>
    <w:p w14:paraId="7B83029B">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（1）固定资产盘点</w:t>
      </w:r>
    </w:p>
    <w:p w14:paraId="5DC1602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每半年对固定资产进行一次盘点，做到账实相符，手续完备。根据盘点具体情况，进行固定资产集中管理。</w:t>
      </w:r>
    </w:p>
    <w:p w14:paraId="1C456A9E">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（2）固定资产调剂</w:t>
      </w:r>
    </w:p>
    <w:p w14:paraId="44F901D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固定资产可以在科室之间进行调剂。调剂时由原使用科室填写《固定资产转移单》，经调剂双方科室领导、固定资产管理员、主管院长签字后进行资产变更和科室成本核算。</w:t>
      </w:r>
    </w:p>
    <w:p w14:paraId="6AC818D0">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（3）固定资产报废条件</w:t>
      </w:r>
    </w:p>
    <w:p w14:paraId="3D94502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固定资产符合下列条件之一的，可以申请报废。使用年限已满，已丧失使用功能且无修复价值的；使用年限未满，但缺乏配件无法修复的；因设备技术落后，不能满足临床需要淘汰的，或是其他符合报废条件的固定资产。若固定资产丢失，根据物品的新旧程度和使用年限由科室提出申请并书面说明情况，经物资管理部门审核是否符合报废条件。</w:t>
      </w:r>
    </w:p>
    <w:p w14:paraId="5030D917">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（4）固定资产报废程序</w:t>
      </w:r>
    </w:p>
    <w:p w14:paraId="7877008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固定资产使用科室由科室负责人根据固定资产报废条件在资产管理系统下申报填写《资产变动单》并提交采购中心（资产管理办公室），提出报废申请，由审计处、行政处、临床医学工程处、信息中心固定资产管理人员去现场清点查看，本着严谨的科学态度，对需报废的医学装备给出实事求是的技术鉴定意见，医疗设备《资产变动单》经临床医学工程处、审计处审核会签，医院总会计师签字批准后方可完成报废手续，经批准报废的医疗设备，由行政处统一进行存放、保管，处置。</w:t>
      </w:r>
    </w:p>
    <w:p w14:paraId="056762D3">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4.政府采购管理</w:t>
      </w:r>
    </w:p>
    <w:p w14:paraId="4E60C4C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医院医疗设备的购置按照南京市妇幼保健院医学工程处招标采购管理规定、参照《政府采购货物和服务招标投标管理办法》、南京市政府采购目录和政府购买服务目录及医院各项管理规定开展采购工作。</w:t>
      </w:r>
    </w:p>
    <w:p w14:paraId="0F6731D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品的购置必须实行全过程监督制度。外送项目到南京市公共资源交易中心或有资质的第三方招标机构开展招标工作。院内项目购置前向院纪检监察部门递交《招标、采购备案登记表》；购置时由医工处采购人员、审计人员、财务人员、申购部门代表，组成评标小组。购置后及时将采购结果通过发布采购信息的媒体进行公示。</w:t>
      </w:r>
    </w:p>
    <w:p w14:paraId="15CB657F">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5.建设项目管理</w:t>
      </w:r>
    </w:p>
    <w:p w14:paraId="6618FEAF">
      <w:pPr>
        <w:spacing w:line="520" w:lineRule="exact"/>
        <w:ind w:firstLine="643" w:firstLineChars="200"/>
        <w:jc w:val="left"/>
        <w:rPr>
          <w:rFonts w:ascii="仿宋_GB2312" w:eastAsia="仿宋_GB2312"/>
          <w:b/>
          <w:bCs/>
          <w:sz w:val="32"/>
          <w:szCs w:val="32"/>
        </w:rPr>
      </w:pPr>
      <w:r>
        <w:rPr>
          <w:rFonts w:hint="eastAsia" w:ascii="仿宋_GB2312" w:eastAsia="仿宋_GB2312"/>
          <w:b/>
          <w:bCs/>
          <w:sz w:val="32"/>
          <w:szCs w:val="32"/>
        </w:rPr>
        <w:t>（</w:t>
      </w:r>
      <w:r>
        <w:rPr>
          <w:rFonts w:hint="eastAsia" w:ascii="Times New Roman" w:hAnsi="Times New Roman" w:eastAsia="仿宋_GB2312"/>
          <w:b/>
          <w:bCs/>
          <w:sz w:val="32"/>
          <w:szCs w:val="32"/>
        </w:rPr>
        <w:t>1</w:t>
      </w:r>
      <w:r>
        <w:rPr>
          <w:rFonts w:hint="eastAsia" w:ascii="仿宋_GB2312" w:eastAsia="仿宋_GB2312"/>
          <w:b/>
          <w:bCs/>
          <w:sz w:val="32"/>
          <w:szCs w:val="32"/>
        </w:rPr>
        <w:t>）建设项目管理制度制定情况</w:t>
      </w:r>
    </w:p>
    <w:p w14:paraId="7567DD7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处基建班组现有工作制度参照卫健委2024年12月制定的《南京市卫生健康委直属单位基本建设管理制度（征求意见稿）》的内容制定并严格按此要求执行。目前行政处制度包括：基建工作制度、工程项目立项管理规定、基建工程合同管理规定、基建工程变更签证管理规定、基建工程重大事项集体决策制度。</w:t>
      </w:r>
    </w:p>
    <w:p w14:paraId="0247BFF8">
      <w:pPr>
        <w:spacing w:line="520" w:lineRule="exact"/>
        <w:jc w:val="left"/>
        <w:rPr>
          <w:rFonts w:ascii="仿宋_GB2312" w:eastAsia="仿宋_GB2312"/>
          <w:b/>
          <w:bCs/>
          <w:sz w:val="32"/>
          <w:szCs w:val="32"/>
        </w:rPr>
      </w:pPr>
      <w:r>
        <w:rPr>
          <w:rFonts w:hint="eastAsia" w:ascii="仿宋_GB2312" w:eastAsia="仿宋_GB2312"/>
          <w:b/>
          <w:bCs/>
          <w:sz w:val="32"/>
          <w:szCs w:val="32"/>
        </w:rPr>
        <w:t xml:space="preserve">    （</w:t>
      </w:r>
      <w:r>
        <w:rPr>
          <w:rFonts w:hint="eastAsia" w:ascii="Times New Roman" w:hAnsi="Times New Roman" w:eastAsia="仿宋_GB2312"/>
          <w:b/>
          <w:bCs/>
          <w:sz w:val="32"/>
          <w:szCs w:val="32"/>
        </w:rPr>
        <w:t>2</w:t>
      </w:r>
      <w:r>
        <w:rPr>
          <w:rFonts w:hint="eastAsia" w:ascii="仿宋_GB2312" w:eastAsia="仿宋_GB2312"/>
          <w:b/>
          <w:bCs/>
          <w:sz w:val="32"/>
          <w:szCs w:val="32"/>
        </w:rPr>
        <w:t>）建设项目管理制度的执行情况</w:t>
      </w:r>
    </w:p>
    <w:p w14:paraId="384A9394">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医院各科室维修改造工程均通过医院政务OA平台申请，由行政处及相关职能科室调研确认后报分管院长及院长审批。项目审批后由工程人员作初步估算，10万元以下项目直接安排院内维修工程队负责施工后报零星点工至审计处决算，出具工程造价审计定案单。估算5万元以上项目，由行政处上报重大事项申请，院长办公会集体讨论决议确定。</w:t>
      </w:r>
    </w:p>
    <w:p w14:paraId="61CC8530">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凡基建工程项目立项，均实行一项目一报告制度，同一项目不得拆分上报。自筹资金50万元以下日常维修工程项目由建设单位按规定和流程自行组织。</w:t>
      </w:r>
    </w:p>
    <w:p w14:paraId="07D82098">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自筹资金50万元以上(含)100万元以下日常维修项目须经项目建设单位办公会研究，报市卫生健康委审核，经委分管领导同意后备案。备案时需提供申请单位自行编制或委托中介服务机构编制项目申请报告文本，以及项目单位申请请示和其他所需材料。卫健委组织专家评估论证，对符合条件的日常维修改造项目出具项目备案意见后方可实施。对不应纳入日常维修改造、属于固定资产投资的项目按规定报市发改委申请核准后实施。</w:t>
      </w:r>
    </w:p>
    <w:p w14:paraId="767C377A">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自筹资金100万元以上(含)500万元以下项目，经项目建设单位办公会研究，报市卫生健康委审核，经主要领导同意后报市发改委审批(核准)。</w:t>
      </w:r>
    </w:p>
    <w:p w14:paraId="474475D9">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政府投资建设项目或投资额在500万元以上(含)的基建工程、维修改造工程项目必须经委党委会研究同意后，报市发改委审批(核准)立项。机关办公用房维修改造项目按照《南京市党政机关办公用房维修改造项目审批流程实施细则》(宁事管字[2021]63号)执行。</w:t>
      </w:r>
    </w:p>
    <w:p w14:paraId="4B75E306">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卫健委审批项目，由卫健委牵头专家组论证审批后，由审计事务所编制工程清单，在南京市妇幼保健院官网发布招标公告进行招投标、施工工程结束后施工方及时上报竣工资料并报请相关职能科室人员验收，决算资料报至审计部门审批，由卫健委指定事务所进行工程审计出具审计报告。</w:t>
      </w:r>
    </w:p>
    <w:p w14:paraId="54B7580F">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发改委审批项目，编制可行性研究报告、节能评估报告、环境评估报告等报相关部门审批，办理建设手续后，进行公开招投标及施工工作，工程结束后施工方及时上报竣工资料申请相关部门验收，由卫计委指定事务所进行工程审计出具审计报告。</w:t>
      </w:r>
    </w:p>
    <w:p w14:paraId="1B5EDACC">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工程结束后，相关竣工资料由行政处专职资料员整理后报院档案室存放。</w:t>
      </w:r>
    </w:p>
    <w:p w14:paraId="2AA11495">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6.内部控制管理</w:t>
      </w:r>
    </w:p>
    <w:p w14:paraId="3827EAC6">
      <w:pPr>
        <w:spacing w:line="52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（1）收入控制</w:t>
      </w:r>
    </w:p>
    <w:p w14:paraId="1C7A4C5A">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收入、医疗预收款、票据、退费管理制度及岗位责任制。明确相关岗位的职责、权限，确保提供服务与收取费用、价格管理与价格执行、收入票据保管与使用、办理退费与退费审批、收入稽核与收入经办等不相容职务相互分离，合理设置岗位，加强制约和监督。</w:t>
      </w:r>
    </w:p>
    <w:p w14:paraId="3AA52F6E">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制定收入管理业务流程，明确收入、价格、票据、退费管理等环节的控制要求，重点控制门诊收入、住院结算收入；各类收入票据由财务科统一管理，明确票据的购买、印制、保管、领用、核销、遗失处理、清查、归档等环节的职责权限和程序；加强门诊和住院收入结算起止时间控制，及时准确核算收入；建立退费管理制度，严格退费审批权限，完备审批手续。</w:t>
      </w:r>
    </w:p>
    <w:p w14:paraId="12939218">
      <w:pPr>
        <w:spacing w:line="520" w:lineRule="exact"/>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（2）支出控制</w:t>
      </w:r>
    </w:p>
    <w:p w14:paraId="137F2690">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建立健全支出管理制度和岗位责任制。明确相关部门和岗位的职责、权限，确保支出的申请与审批、审批与执行、执行与审核、审核与付款结算等不相容职务相互分离，合理设置岗位，加强制约和监督。</w:t>
      </w:r>
    </w:p>
    <w:p w14:paraId="64FF6BA7">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健全支出的申请、审批、审核、支付等管理制度，明确支出审批权限、责任和相关控制措施；审批人必须在授权范围内审批，严禁无审批支出；加强支出的审核控制，完善支出凭证控制手续和核算控制制度；加强成本核算与管理，规范支出预算管理，严格控制成本费用支出，降低运行成本。</w:t>
      </w:r>
    </w:p>
    <w:p w14:paraId="29BBF34D">
      <w:pPr>
        <w:spacing w:line="520" w:lineRule="exact"/>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（3）货币资金控制</w:t>
      </w:r>
    </w:p>
    <w:p w14:paraId="2164F35F">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建立严格的货币资金业务授权批准制度，明确被授权人的审批权限、审批程序、责任和相关控制措施，审批人员按照规定在授权范围内进行审批，不得超越权限。</w:t>
      </w:r>
    </w:p>
    <w:p w14:paraId="0ECC87CE">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按照规定的程序办理货币资金收入和支付业务。货币资金支付必须严格按照规定的支付申请、支付审批、支付审核、支付结算程序办理。不属于现金开支范围的业务应当通过银行办理转账结算。实行现金库存限额管理，不得坐支。</w:t>
      </w:r>
    </w:p>
    <w:p w14:paraId="15B48A22">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加强银行账户的管理。严格按照规定开立账户、办理存款、取款和结算，定期检查银行账户的开立及使用情况。加强银行存款对账控制及银行预留印签的管理。</w:t>
      </w:r>
    </w:p>
    <w:p w14:paraId="2891F2B8">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建立货币资金盘点核查制度。随机抽查银行对账单、银行日记账及银行存款余额调节表，核对是否相符。不定期抽查库存现金、门诊和住院备用金，保证货币资金账账、账款相符。</w:t>
      </w:r>
    </w:p>
    <w:p w14:paraId="39F9AE36">
      <w:pPr>
        <w:spacing w:line="520" w:lineRule="exact"/>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（4）债权和债务控制</w:t>
      </w:r>
    </w:p>
    <w:p w14:paraId="7E0157B4">
      <w:pPr>
        <w:spacing w:line="52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明确相关岗位的职责和权限，确保业务经办与会计记录、出纳与会计记录、业务经办与审批、总账与明细账核算、审查与记录等不相容职务相互分离，合理设置岗位，加强制约和监督；加强债权控制，明确债权审批权限，健全审批手续，实行责任追究制度，建立清欠核对报告制度，采取函证、对账等形式加强催收管理和会计核算，定期向院领导报告债权情况；建立健全应收款项、预付款项和备用金的催收、清理制度，严格审批，及时清理；建立健全住院病人预交款、应收在院病人医药费、医疗欠费管理控制制度；加强债务控制，严格控制借债规模，大额债务发生必须经领导集体决策，审批人必须在职责权限范围内审批；建立债务授权审批、合同、付款和清理结算的控制制度，定期进行债务清理，及时清偿债务，防范和控制财务风险。</w:t>
      </w:r>
    </w:p>
    <w:p w14:paraId="17104F53">
      <w:pPr>
        <w:spacing w:line="52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（5）档案控制</w:t>
      </w:r>
    </w:p>
    <w:p w14:paraId="08686A82">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会计档案实施统一管理，指定专人负责，实施定期检查，严防毁损、散失；会计档案的查阅必须实行登记，查阅会计档案须经分管领导或财务负责人同意，查阅时不得抽换或任意删设、涂改、折卷，未经同意不准摘录档案内容；会计档案原件一律不外借，如有特殊需要，经本单位领导批准，并由档案管理员和使用者共同签字后可以复制；会计档案严格按照档案管理年限保管，超保管年限的会计档案的销毁须手续齐全。</w:t>
      </w:r>
    </w:p>
    <w:p w14:paraId="0FFD039D">
      <w:pPr>
        <w:spacing w:line="52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（6）财务电子信息化控制</w:t>
      </w:r>
    </w:p>
    <w:p w14:paraId="566C0454">
      <w:pPr>
        <w:spacing w:line="52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财务电子信息化管理制度和岗位责任制，应用专门的授权模块，明确相关科室和岗位的职责、权限；财务电子信息系统凡涉及到资金管理、物资管理、收入、成本费用等部分，其功能、业务流程、操作授权、数据结构和数据校验等方面必须符合财务会计内部控制的要求；加强财务电子信息系统的应用控制，加强对操作员的控制，实行操作授权，严禁未经授权操作数据库；加强数据、程序及网络安全控制，设置和使用等级口令密码控制，健全加密操作日志管理。</w:t>
      </w:r>
    </w:p>
    <w:p w14:paraId="54D38F27">
      <w:pPr>
        <w:spacing w:line="520" w:lineRule="exact"/>
        <w:ind w:firstLine="643" w:firstLineChars="200"/>
        <w:jc w:val="left"/>
        <w:rPr>
          <w:rFonts w:ascii="仿宋_GB2312" w:hAnsi="仿宋_GB2312" w:eastAsia="仿宋_GB2312" w:cs="仿宋_GB2312"/>
          <w:b/>
          <w:bCs/>
          <w:sz w:val="32"/>
          <w:szCs w:val="32"/>
        </w:rPr>
      </w:pPr>
      <w:bookmarkStart w:id="0" w:name="（五）财务科内部轮岗制度"/>
      <w:r>
        <w:rPr>
          <w:rFonts w:hint="eastAsia" w:ascii="仿宋_GB2312" w:hAnsi="仿宋_GB2312" w:eastAsia="仿宋_GB2312" w:cs="仿宋_GB2312"/>
          <w:b/>
          <w:bCs/>
          <w:sz w:val="32"/>
          <w:szCs w:val="32"/>
        </w:rPr>
        <w:t>（7）岗位调整控制</w:t>
      </w:r>
      <w:bookmarkEnd w:id="0"/>
    </w:p>
    <w:p w14:paraId="5A5C6E1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财务科内部岗位均列入轮岗范围。每两年对内部的岗位调整一次。岗位调整人员在最短的时间内完成工作交接，且有书面交接清单。</w:t>
      </w:r>
    </w:p>
    <w:p w14:paraId="362C3C6B">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7.预算绩效管理</w:t>
      </w:r>
    </w:p>
    <w:p w14:paraId="6A4FFDD0">
      <w:pPr>
        <w:spacing w:line="52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（1）职能配置</w:t>
      </w:r>
    </w:p>
    <w:p w14:paraId="25B7EB3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预算管理委员会的职责包括：①制定医院预算管理政策；②根据医院年度发展总体规划，分解下达各科室的年度预算编制要求；③审批医院年度预算草案、预算调整方案以及年度决算等重大事项。医院预算管理办公室是预算管理委员会的下设机构，承担预算管理委员会的日常工作，其职责包括：①审核、汇总各归口科室提交的预算草案；②汇总制定医院年度预算、决算草案；③拟定医院年度预算调整方案；④对医院预算执行情况进行监控分析和监督检查。医院各经费使用科室是医院预算业务的执行机构，其职责包括：①根据本科室职能和年度工作任务，编制本科室预算草案；②对本科室的预算执行进行监控，提供医院预算管理委员会决算所需的信息和资料。</w:t>
      </w:r>
    </w:p>
    <w:p w14:paraId="7E7AF15B">
      <w:pPr>
        <w:spacing w:line="52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（2）预算编制</w:t>
      </w:r>
    </w:p>
    <w:p w14:paraId="2693ED0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医院预算管理委员会召开预算编制工作会，分解下达各科室的预算编制要求。各科室根据下一年度本科室工作计划和资产配置情况，向预算管理办公室提交本科室预算草案和申报基础数据等材料。预算管理办公室对各科室提交的预算草案和申报材料进行审核，汇总编制医院年度预算草案，提交预算管理委员会审批。预算管理办公室根据预算管理委员会对预算草案的审批意见，通知各科室调整预算草案。各科室调整后重新上报预算草案，预算管理办公室调整医院年度预算草案并上报。预算管理委员会审批重新上报的医院年度预算草案。预算管理办公室根据批准的医院年度预算，正式下达各科室的年度预算金额。</w:t>
      </w:r>
    </w:p>
    <w:p w14:paraId="687B610A">
      <w:pPr>
        <w:pStyle w:val="4"/>
        <w:spacing w:line="520" w:lineRule="exact"/>
        <w:ind w:firstLine="643" w:firstLineChars="200"/>
        <w:rPr>
          <w:b/>
          <w:bCs/>
        </w:rPr>
      </w:pPr>
      <w:r>
        <w:rPr>
          <w:rFonts w:hint="eastAsia" w:ascii="仿宋_GB2312" w:hAnsi="仿宋_GB2312" w:eastAsia="仿宋_GB2312" w:cs="仿宋_GB2312"/>
          <w:b/>
          <w:bCs/>
          <w:sz w:val="32"/>
          <w:szCs w:val="32"/>
        </w:rPr>
        <w:t>（3）预算的执行与调整</w:t>
      </w:r>
    </w:p>
    <w:p w14:paraId="552A556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与医院收入预算有关的各科室应积极组织收入，有责任监督各项收入按计划足额上缴医院。各经费使用科室应严格按照批准的预算安排经费支出，不得随意变更资金用途，定期将执行情况与预算进行对比分析，及时发现偏差、查找原因，采取必要措施，保证预算整体目标的顺利完成。医院预算在执行过程中一般不予调整。若遇重要事件需要调整年度预算，需经费使用科室提出预算调整申请。</w:t>
      </w:r>
    </w:p>
    <w:p w14:paraId="21C1F14F">
      <w:pPr>
        <w:pStyle w:val="4"/>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（4）年终决算与考核</w:t>
      </w:r>
    </w:p>
    <w:p w14:paraId="485E69E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管理办公室按照《医院财务制度》、《医院会计制度》的要求编制年终决算，对医院全年预算总体执行情况进行分析，为下一年度医院预算编制提供依据。预算管理办公室对医院的预算执行情况进行全方位、全过程监控，定期检查和分析，向预算管理委员会报告预算执行情况。各经费使用科室必须认真编制和执行本科室经费预算，接受预算管理委员会的监督和检查。预算执行结果纳入各科室年度综合考核指标。</w:t>
      </w:r>
    </w:p>
    <w:p w14:paraId="0A12518A">
      <w:pPr>
        <w:spacing w:line="560" w:lineRule="exact"/>
        <w:ind w:firstLine="643" w:firstLineChars="200"/>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（三）部门绩效目标</w:t>
      </w:r>
    </w:p>
    <w:p w14:paraId="74C9F9E2">
      <w:pPr>
        <w:spacing w:line="520" w:lineRule="exact"/>
        <w:ind w:firstLine="643" w:firstLineChars="200"/>
        <w:rPr>
          <w:rFonts w:ascii="仿宋_GB2312" w:hAnsi="仿宋_GB2312" w:eastAsia="仿宋_GB2312" w:cs="仿宋_GB2312"/>
          <w:b/>
          <w:bCs/>
          <w:sz w:val="32"/>
          <w:szCs w:val="32"/>
        </w:rPr>
      </w:pP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.决策机制</w:t>
      </w:r>
    </w:p>
    <w:p w14:paraId="3E65EC28">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决策制度的规范性</w:t>
      </w:r>
    </w:p>
    <w:p w14:paraId="69E7886F">
      <w:pPr>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院党委坚决落实“把方向、管大局、作决策、促改革、保落实”作用，修订《中国共产党南京市妇幼保健院委员会议事规则》《南京市妇幼保健院院长办公会议事规则》，《南京市妇幼保健院对口支援援派管理规定（修订）》《南京市妇幼保健院中层干部管理暂行办法》《南京市妇幼保健院党费使用管理规定》等制度，调整院领导管理分工、党委委员联系点，切实推进党委领导下的院长负责制权责清晰、运行高效，通过优化管理机构设置全面加强党的领导和党的建设，全面提升治理体系和治理能力现代化水平。</w:t>
      </w:r>
    </w:p>
    <w:p w14:paraId="4A9BAA99">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决策流程的科学性</w:t>
      </w:r>
    </w:p>
    <w:p w14:paraId="022D91B3">
      <w:pPr>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健全党委议事决策制度，优化“三重一大”事项决策机制。在决策范围上，凡是涉及医院发展、员工切身利益、院长办公会议而不决的重大问题等，均</w:t>
      </w:r>
      <w:r>
        <w:rPr>
          <w:rFonts w:hint="eastAsia" w:ascii="仿宋_GB2312" w:hAnsi="仿宋_GB2312" w:eastAsia="仿宋_GB2312" w:cs="仿宋_GB2312"/>
          <w:sz w:val="32"/>
          <w:szCs w:val="32"/>
        </w:rPr>
        <w:t>由</w:t>
      </w:r>
      <w:r>
        <w:rPr>
          <w:rFonts w:ascii="仿宋_GB2312" w:hAnsi="仿宋_GB2312" w:eastAsia="仿宋_GB2312" w:cs="仿宋_GB2312"/>
          <w:sz w:val="32"/>
          <w:szCs w:val="32"/>
        </w:rPr>
        <w:t>党委会研究决定，充分发表意见、集思广益，按少数服从多数的原则做出集体决策，降低决策风险和避免决策失误；在决策程序上，党委总揽而不包揽，先由院长办公会讨论通过，再由党委会研究决定，充分发挥班子成员指导作用的同时，并按分工抓好组织实施，一经决策，雷厉风行，成效明显。</w:t>
      </w:r>
    </w:p>
    <w:p w14:paraId="7FD9E137">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3</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决策执行监督制衡机制</w:t>
      </w:r>
    </w:p>
    <w:p w14:paraId="051BFE39">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对党委会、院长办公会决策议事程序和决策后执行情况进行监督，进一步完善职工代表大会、工会会员代表大会制度机制，保障职工参与民主管理和民主监督的权利。加强廉政教育，加大日常监督和执纪力度，强化作风建设，力戒形式主义、官僚主义，大力弘扬求真务实的工作作风，坚决防止和反对特权思想、特权行为。</w:t>
      </w:r>
    </w:p>
    <w:p w14:paraId="4FFC168F">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2.中长期规划</w:t>
      </w:r>
    </w:p>
    <w:p w14:paraId="2D185CD2">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）中长期规划明确性</w:t>
      </w:r>
    </w:p>
    <w:p w14:paraId="0E988885">
      <w:pPr>
        <w:spacing w:line="50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医院“十四五”规划以习近平新时代中国特色社会主义思想为指导，深入落实习近平总书记对江苏工作重要讲话指示精神，认真落实国家、省、市关于深化医药卫生体制改革、建设健康江苏、健康南京的部署要求，坚持妇幼卫生工作方针，以推动高质量发展为主题，以改革创新为根本动力，以提高妇幼健康水平为核心，以全生命周期健康管理服务为主线，以舒适化医院建设为契机，高起点谋划、全方位推进医疗保健服务、学科建设、人才培养、科研教学等改革发展各项工作，</w:t>
      </w:r>
      <w:r>
        <w:rPr>
          <w:rFonts w:ascii="Times New Roman" w:hAnsi="Times New Roman" w:eastAsia="仿宋" w:cs="Times New Roman"/>
          <w:color w:val="000000" w:themeColor="text1"/>
          <w:kern w:val="0"/>
          <w:sz w:val="32"/>
          <w:szCs w:val="32"/>
        </w:rPr>
        <w:t>为建设国内知名研究型专科医院夯实基础。</w:t>
      </w:r>
    </w:p>
    <w:p w14:paraId="650207A1">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）中长期规划与部门职能的匹配性</w:t>
      </w:r>
    </w:p>
    <w:p w14:paraId="1C684965">
      <w:pPr>
        <w:spacing w:line="50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制定“十四五”规划前期，医院组织制定了规划编制工作方案，成立规划编制工作领导小组，深入开展规划前期调研工作。</w:t>
      </w:r>
      <w:r>
        <w:rPr>
          <w:rFonts w:ascii="Times New Roman" w:hAnsi="Times New Roman" w:eastAsia="仿宋" w:cs="Times New Roman"/>
          <w:color w:val="000000" w:themeColor="text1"/>
          <w:kern w:val="0"/>
          <w:sz w:val="32"/>
          <w:szCs w:val="32"/>
        </w:rPr>
        <w:t>召开业务科室科主任、职能科室科主任、护士长专场“十四五”规划编制调研座谈会，</w:t>
      </w:r>
      <w:r>
        <w:rPr>
          <w:rFonts w:ascii="Times New Roman" w:hAnsi="Times New Roman" w:eastAsia="仿宋" w:cs="Times New Roman"/>
          <w:color w:val="000000" w:themeColor="text1"/>
          <w:sz w:val="32"/>
          <w:szCs w:val="32"/>
        </w:rPr>
        <w:t>充分听取各方意见建议，形成规划基本思路；运用SWOT分析法，明确医院的发展背景、发展环境和发展阶段，提出主要目标、需要解决的重大问题和对策措施，</w:t>
      </w:r>
      <w:r>
        <w:rPr>
          <w:rFonts w:ascii="Times New Roman" w:hAnsi="Times New Roman" w:eastAsia="仿宋" w:cs="Times New Roman"/>
          <w:color w:val="000000" w:themeColor="text1"/>
          <w:kern w:val="0"/>
          <w:sz w:val="32"/>
          <w:szCs w:val="32"/>
        </w:rPr>
        <w:t>以更宽的视野、更高的站位，</w:t>
      </w:r>
      <w:r>
        <w:rPr>
          <w:rFonts w:ascii="Times New Roman" w:hAnsi="Times New Roman" w:eastAsia="仿宋" w:cs="Times New Roman"/>
          <w:color w:val="000000" w:themeColor="text1"/>
          <w:sz w:val="32"/>
          <w:szCs w:val="32"/>
        </w:rPr>
        <w:t>编制科学性、前瞻性和可操作性强的“十四五”规划。</w:t>
      </w:r>
    </w:p>
    <w:p w14:paraId="4273A27A">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3.年度工作计划</w:t>
      </w:r>
    </w:p>
    <w:p w14:paraId="7F14553E">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）年度工作计划明确性</w:t>
      </w:r>
    </w:p>
    <w:p w14:paraId="6C2F0C6D">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医院坚持以习近平新时代中国特色社会主义思想为指导，紧紧围绕全年重点工作，坚持稳中求进工作总基调，聚焦高质量发展目标任务，以全生命周期健康管理服务为主线，全面提升医院管理和服务水平，为保质保量完成全年工作任务、推进实施医院“十四五”规划夯实基础。</w:t>
      </w:r>
    </w:p>
    <w:p w14:paraId="5D21B5DC">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）年度工作计划与部门职能的匹配性</w:t>
      </w:r>
    </w:p>
    <w:p w14:paraId="0DCD9428">
      <w:pPr>
        <w:adjustRightInd w:val="0"/>
        <w:snapToGrid w:val="0"/>
        <w:spacing w:line="5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紧紧围绕“立足</w:t>
      </w:r>
      <w:r>
        <w:rPr>
          <w:rFonts w:ascii="Times New Roman" w:hAnsi="Times New Roman" w:eastAsia="仿宋" w:cs="Times New Roman"/>
          <w:spacing w:val="-20"/>
          <w:sz w:val="32"/>
          <w:szCs w:val="32"/>
        </w:rPr>
        <w:t>‘</w:t>
      </w:r>
      <w:r>
        <w:rPr>
          <w:rFonts w:ascii="Times New Roman" w:hAnsi="Times New Roman" w:eastAsia="仿宋" w:cs="Times New Roman"/>
          <w:sz w:val="32"/>
          <w:szCs w:val="32"/>
        </w:rPr>
        <w:t>一院两区</w:t>
      </w:r>
      <w:r>
        <w:rPr>
          <w:rFonts w:ascii="Times New Roman" w:hAnsi="Times New Roman" w:eastAsia="仿宋" w:cs="Times New Roman"/>
          <w:spacing w:val="-20"/>
          <w:sz w:val="32"/>
          <w:szCs w:val="32"/>
        </w:rPr>
        <w:t>’</w:t>
      </w:r>
      <w:r>
        <w:rPr>
          <w:rFonts w:ascii="Times New Roman" w:hAnsi="Times New Roman" w:eastAsia="仿宋" w:cs="Times New Roman"/>
          <w:sz w:val="32"/>
          <w:szCs w:val="32"/>
        </w:rPr>
        <w:t>建设，以新发展理念引领医院高质量发展”，切实落实医院“空间拓展”和“内涵深化”并重的新发展战略，依据医院“十四五”规划和年度工作计划，制定医院重点工作清单，细化责任部门分解，由分管院领导牵头，明确承办科室，通过压实管理责任，全力推进年度工作计划落实。</w:t>
      </w:r>
    </w:p>
    <w:p w14:paraId="7983B21B">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4.部门预算编制</w:t>
      </w:r>
    </w:p>
    <w:p w14:paraId="1EADA3EB">
      <w:pPr>
        <w:spacing w:line="500" w:lineRule="exact"/>
        <w:ind w:right="-126" w:rightChars="-6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年两次召开医院医学装备管理委员会会议、物资委员会会议，讨论医院医疗设备、其他设备发展规划、采购活动等重大事项，其中第四季度末讨论下一年全年计划，第二季度末讨论下半年追加计划。收入预算、支出预算同时在第四季度末编制完成。医院医学装备管理委员会、物资委员会形成的预算决议讨论稿须经院长办公会讨论、院党委会批复，报医院全面预算管理委员会交由职代会讨论通过后，作为年度预算实施，并在医院政务平台上公示。</w:t>
      </w:r>
    </w:p>
    <w:p w14:paraId="1E505578">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1</w:t>
      </w:r>
      <w:r>
        <w:rPr>
          <w:rFonts w:hint="eastAsia" w:ascii="仿宋_GB2312" w:hAnsi="仿宋_GB2312" w:eastAsia="仿宋_GB2312" w:cs="仿宋_GB2312"/>
          <w:b/>
          <w:bCs/>
          <w:sz w:val="32"/>
          <w:szCs w:val="32"/>
        </w:rPr>
        <w:t>）年度计划：</w:t>
      </w:r>
      <w:r>
        <w:rPr>
          <w:rFonts w:hint="eastAsia" w:ascii="Times New Roman" w:hAnsi="Times New Roman" w:eastAsia="仿宋" w:cs="Times New Roman"/>
          <w:sz w:val="32"/>
          <w:szCs w:val="32"/>
        </w:rPr>
        <w:t>第四季度，</w:t>
      </w:r>
      <w:r>
        <w:rPr>
          <w:rFonts w:hint="eastAsia" w:ascii="仿宋_GB2312" w:hAnsi="仿宋_GB2312" w:eastAsia="仿宋_GB2312" w:cs="仿宋_GB2312"/>
          <w:sz w:val="32"/>
          <w:szCs w:val="32"/>
        </w:rPr>
        <w:t>各使用部门根据实际工作需要，</w:t>
      </w:r>
      <w:r>
        <w:rPr>
          <w:rFonts w:ascii="Times New Roman" w:hAnsi="Times New Roman" w:eastAsia="仿宋" w:cs="Times New Roman"/>
          <w:sz w:val="32"/>
          <w:szCs w:val="32"/>
        </w:rPr>
        <w:t>在</w:t>
      </w:r>
      <w:r>
        <w:rPr>
          <w:rFonts w:hint="eastAsia" w:ascii="Times New Roman" w:hAnsi="Times New Roman" w:eastAsia="仿宋" w:cs="Times New Roman"/>
          <w:sz w:val="32"/>
          <w:szCs w:val="32"/>
        </w:rPr>
        <w:t>医院</w:t>
      </w:r>
      <w:r>
        <w:rPr>
          <w:rFonts w:ascii="Times New Roman" w:hAnsi="Times New Roman" w:eastAsia="仿宋" w:cs="Times New Roman"/>
          <w:sz w:val="32"/>
          <w:szCs w:val="32"/>
        </w:rPr>
        <w:t>全面预算系统</w:t>
      </w:r>
      <w:r>
        <w:rPr>
          <w:rFonts w:hint="eastAsia" w:ascii="Times New Roman" w:hAnsi="Times New Roman" w:eastAsia="仿宋" w:cs="Times New Roman"/>
          <w:sz w:val="32"/>
          <w:szCs w:val="32"/>
        </w:rPr>
        <w:t>中编制</w:t>
      </w:r>
      <w:r>
        <w:rPr>
          <w:rFonts w:hint="eastAsia" w:ascii="仿宋_GB2312" w:hAnsi="仿宋_GB2312" w:eastAsia="仿宋_GB2312" w:cs="仿宋_GB2312"/>
          <w:sz w:val="32"/>
          <w:szCs w:val="32"/>
        </w:rPr>
        <w:t>年度物资采购及设备维修维保计划</w:t>
      </w:r>
      <w:r>
        <w:rPr>
          <w:rFonts w:hint="eastAsia" w:ascii="Times New Roman" w:hAnsi="Times New Roman" w:eastAsia="仿宋" w:cs="Times New Roman"/>
          <w:sz w:val="32"/>
          <w:szCs w:val="32"/>
        </w:rPr>
        <w:t>。经</w:t>
      </w:r>
      <w:r>
        <w:rPr>
          <w:rFonts w:hint="eastAsia" w:ascii="仿宋_GB2312" w:hAnsi="仿宋_GB2312" w:eastAsia="仿宋_GB2312" w:cs="仿宋_GB2312"/>
          <w:sz w:val="32"/>
          <w:szCs w:val="32"/>
        </w:rPr>
        <w:t>医学装备管理委员会讨论后，履行院内“三重一大”事项申报审议后，报医院全面预算管理委员会，批复文件作为下一年度计划实施。</w:t>
      </w:r>
    </w:p>
    <w:p w14:paraId="1CD09D5C">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Times New Roman" w:hAnsi="Times New Roman" w:eastAsia="仿宋_GB2312" w:cs="仿宋_GB2312"/>
          <w:b/>
          <w:bCs/>
          <w:sz w:val="32"/>
          <w:szCs w:val="32"/>
        </w:rPr>
        <w:t>2</w:t>
      </w:r>
      <w:r>
        <w:rPr>
          <w:rFonts w:hint="eastAsia" w:ascii="仿宋_GB2312" w:hAnsi="仿宋_GB2312" w:eastAsia="仿宋_GB2312" w:cs="仿宋_GB2312"/>
          <w:b/>
          <w:bCs/>
          <w:sz w:val="32"/>
          <w:szCs w:val="32"/>
        </w:rPr>
        <w:t>）年度增补或专项计划：</w:t>
      </w:r>
      <w:r>
        <w:rPr>
          <w:rFonts w:hint="eastAsia" w:ascii="仿宋_GB2312" w:hAnsi="仿宋_GB2312" w:eastAsia="仿宋_GB2312" w:cs="仿宋_GB2312"/>
          <w:sz w:val="32"/>
          <w:szCs w:val="32"/>
        </w:rPr>
        <w:t>对未列入年度计划内的物资申购，按照全面预算管理办法，由使用部门提出申请，经过相关审批程序通过后，作为年度增补计划或专项计划实施。</w:t>
      </w:r>
    </w:p>
    <w:p w14:paraId="1654DB48">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二、评价结论</w:t>
      </w:r>
    </w:p>
    <w:p w14:paraId="1D355771">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（一）部门决策</w:t>
      </w:r>
    </w:p>
    <w:p w14:paraId="2CBD6B30">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决策</w:t>
      </w:r>
      <w:r>
        <w:rPr>
          <w:rFonts w:hint="eastAsia" w:ascii="仿宋_GB2312" w:hAnsi="仿宋_GB2312" w:eastAsia="仿宋_GB2312" w:cs="仿宋_GB2312"/>
          <w:sz w:val="32"/>
          <w:szCs w:val="32"/>
        </w:rPr>
        <w:t>制度科学、流程</w:t>
      </w:r>
      <w:r>
        <w:rPr>
          <w:rFonts w:ascii="仿宋_GB2312" w:hAnsi="仿宋_GB2312" w:eastAsia="仿宋_GB2312" w:cs="仿宋_GB2312"/>
          <w:sz w:val="32"/>
          <w:szCs w:val="32"/>
        </w:rPr>
        <w:t>规范</w:t>
      </w:r>
      <w:r>
        <w:rPr>
          <w:rFonts w:hint="eastAsia" w:ascii="仿宋_GB2312" w:hAnsi="仿宋_GB2312" w:eastAsia="仿宋_GB2312" w:cs="仿宋_GB2312"/>
          <w:sz w:val="32"/>
          <w:szCs w:val="32"/>
        </w:rPr>
        <w:t>，建立相应的制衡机制；中长期规划明确，规划与部门职能相匹配；年度工作计划明确，计划与部门职能相匹配；部门预算编制科学规范，编制与重点任务相匹配。自评得分15分。</w:t>
      </w:r>
    </w:p>
    <w:p w14:paraId="2E81703C">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（二）部门管理</w:t>
      </w:r>
    </w:p>
    <w:p w14:paraId="3AC5EB38">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部门预算执行率90.24%；专项资金执行率达到100%；“三公”经费严格执行国家及省、市、上级主管部门关于公务接待的规定，修订完善《南京市妇幼保健院公务接待制度》。</w:t>
      </w:r>
      <w:r>
        <w:rPr>
          <w:rFonts w:ascii="Times New Roman" w:hAnsi="Times New Roman" w:eastAsia="仿宋" w:cs="Times New Roman"/>
          <w:color w:val="000000" w:themeColor="text1"/>
          <w:sz w:val="32"/>
          <w:szCs w:val="32"/>
        </w:rPr>
        <w:t>建立公务接待审批控制机制，公务接待实行电子审批流程，由各部门分管院领导负责把关、规范审批，严禁无公函、无审批、无备案接待。将OA流程“公务接待申请”与“公务接待报销”改为串联流程审批，通过OA中“待办流程提醒”功能进行督促，有效解决了在院内膳食中心执行公务接待任务后，公务接待清单报销流程存在个别拖滞的情况。</w:t>
      </w:r>
      <w:r>
        <w:rPr>
          <w:rFonts w:hint="eastAsia" w:ascii="仿宋_GB2312" w:hAnsi="仿宋_GB2312" w:eastAsia="仿宋_GB2312" w:cs="仿宋_GB2312"/>
          <w:sz w:val="32"/>
          <w:szCs w:val="32"/>
        </w:rPr>
        <w:t>预决算信息在医院内外网公开；收支管理制度健全，严格按照收支管理制度执行；加强医院固定资产管理，根据有关固定资产管理文件，结合医院管理实际情况，制定固定资产管理办法，并严格执行；政府采购参照《政府采购货物和服务招标投标管理办法》、南京市政府采购目录和政府购买服务目录及医院各项管理规定开展采购工作，对产品的购置实行全过程监督；建设项目制度健全、科学，并严格按照相关制度执行；内部控制制度健全，执行规范科学；预算绩效管理制度健全，做到事前评估、目标明确、自评价落实，绩效信息在医院内外网公开。</w:t>
      </w:r>
    </w:p>
    <w:p w14:paraId="7F7DBD01">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自评得分19分。</w:t>
      </w:r>
    </w:p>
    <w:p w14:paraId="16B7CF95">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（三）部门履职</w:t>
      </w:r>
    </w:p>
    <w:p w14:paraId="64FB2864">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重点工作按时完成，完成率100%；工作质量达到预期。自评得分30分。</w:t>
      </w:r>
    </w:p>
    <w:p w14:paraId="3BE36322">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（四）履职绩效</w:t>
      </w:r>
    </w:p>
    <w:p w14:paraId="0DD55C21">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1.经济效益</w:t>
      </w:r>
    </w:p>
    <w:p w14:paraId="09DDBCE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2024年医院门急诊量216.71万人次，较上年增加18.56万人次，上升9.37%；出院人数7.29万人次，较上年增加0.85万人次，上升了13.19%。</w:t>
      </w:r>
    </w:p>
    <w:p w14:paraId="13A18FC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2024年医疗收入16.26亿元，较上年增加1.28亿元，上升8.57%；其中：门诊收入9.37亿元，较上年增加了5350.85万元，上升了6.06%。住院收入6.78亿元，较上年增加了8059.31万元，上升了13.49%。</w:t>
      </w:r>
    </w:p>
    <w:p w14:paraId="7F8EB7F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2024年财政基本补助收入2700.01万元，较上年减少1426.19万元；财政项目拨款7.67亿元，较上年增加2.97亿元。2024年医院收支盈余248.12万元，收支结余率为0.15%。2024年收支结余较上年增加了46.61万元。</w:t>
      </w:r>
    </w:p>
    <w:p w14:paraId="7C3719D0">
      <w:pPr>
        <w:pStyle w:val="4"/>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2024年资产总计416808.34万元，负债合计36970.46万元，资产负债率为8.87%。</w:t>
      </w:r>
    </w:p>
    <w:p w14:paraId="1C225035">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2.社会效益</w:t>
      </w:r>
    </w:p>
    <w:p w14:paraId="56C43890">
      <w:pPr>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坚持以习近平新时代中国特色社会主义思想为指导，深入学习贯彻党的二十大精神</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面对新时代、新征程宣传思想文化工作面临的新形势，不断突破创新，全面提升传播效能和社会影响力。进一步统一思想，凝聚共识，强化责任，切实提升医院意识形态建设水平。在公立医院高质量发展的新时代背景下，紧紧围绕医院中心、服务大局，高扬思想旗帜，不断开创新时代宣传思想文化工作新局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在OA“意识形态”专栏定期发布来源于“学习强国”相关学习内容，202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年度共发布</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条内容。</w:t>
      </w:r>
    </w:p>
    <w:p w14:paraId="19FB2532">
      <w:pPr>
        <w:spacing w:line="520" w:lineRule="exact"/>
        <w:ind w:firstLine="643" w:firstLineChars="200"/>
        <w:rPr>
          <w:rFonts w:ascii="Times New Roman" w:hAnsi="Times New Roman" w:eastAsia="仿宋_GB2312" w:cs="Times New Roman"/>
          <w:sz w:val="32"/>
          <w:szCs w:val="32"/>
        </w:rPr>
      </w:pPr>
      <w:bookmarkStart w:id="1" w:name="OLE_LINK1"/>
      <w:r>
        <w:rPr>
          <w:rFonts w:ascii="Times New Roman" w:hAnsi="Times New Roman" w:eastAsia="仿宋_GB2312" w:cs="Times New Roman"/>
          <w:b/>
          <w:bCs/>
          <w:sz w:val="32"/>
          <w:szCs w:val="32"/>
        </w:rPr>
        <w:t>全面弘扬社会主义核心价值观，着力宣传先进典型</w:t>
      </w:r>
      <w:r>
        <w:rPr>
          <w:rFonts w:hint="eastAsia" w:ascii="Times New Roman" w:hAnsi="Times New Roman" w:eastAsia="仿宋_GB2312" w:cs="Times New Roman"/>
          <w:b/>
          <w:bCs/>
          <w:sz w:val="32"/>
          <w:szCs w:val="32"/>
        </w:rPr>
        <w:t>。</w:t>
      </w:r>
      <w:bookmarkEnd w:id="1"/>
      <w:r>
        <w:rPr>
          <w:rFonts w:ascii="Times New Roman" w:hAnsi="Times New Roman" w:eastAsia="仿宋_GB2312" w:cs="Times New Roman"/>
          <w:sz w:val="32"/>
          <w:szCs w:val="32"/>
        </w:rPr>
        <w:t>用好各式各类新媒体学习平台，营造昂扬向上、人心思进的院内风貌。唱响主旋律，完成第七届感动妇幼人物网络投票及视频、形象照拍摄，树立典型人物，传播家文化。紧扣“引导群众、服务群众”的主线，进一步加强文化建设，传递积极健康价值观，体现妇幼特色文化核心理念，申报项目《建设融媒体中心，筑牢新时代宣传舆论“主阵地”》，成功入选2024年度全市宣传思想文化工作创新项目，为市卫健系统唯一入选项目。</w:t>
      </w:r>
    </w:p>
    <w:p w14:paraId="6EA78C55">
      <w:pPr>
        <w:spacing w:line="52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多措并举，提升自媒体影响力。</w:t>
      </w:r>
      <w:r>
        <w:rPr>
          <w:rFonts w:ascii="Times New Roman" w:hAnsi="Times New Roman" w:eastAsia="仿宋_GB2312" w:cs="Times New Roman"/>
          <w:kern w:val="0"/>
          <w:sz w:val="32"/>
          <w:szCs w:val="32"/>
        </w:rPr>
        <w:t>一是为落实《妇幼保健机构绩效考核办法》，中国疾病预防控制中心妇幼保健中心开展三级妇幼保健院微信公众号科普影响力指数监测，为医院绩效考核达标，提升医院科普影响力，将绩效考核中关于对科普影响力的考核在医院各个层面、各类场合加强宣传，形成“全员一盘棋”的宣传氛围。医院微信订阅号在2024年妇幼保健机构微信公众号科普作品影响力排行榜中的排名最前提升到第7名。</w:t>
      </w:r>
    </w:p>
    <w:p w14:paraId="20794542">
      <w:pPr>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是根据微信公众号网络用户使用情况调研结果，暂停周六、周日及假期等用户使用率低的时间段的微信推送，通过提升工作日微信内容的质量吸取更多微信用户关注。2024年，微信公众号（订阅号）总用户数754958，微信公众号（服务号）总用户数633100，微信公众号合计关注人数同比增长23.2%；共发布微信文章347篇；微信公众号（订阅号）总阅读数244.4万次，总阅读人数194.7万人次；其中，微信公众号阅读量过万的文章52篇。为宣传内容的传播能更全面广泛，在新浪微博、今日头条、网易号等平台同步更新。</w:t>
      </w:r>
    </w:p>
    <w:p w14:paraId="2BE64A68">
      <w:pPr>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w:t>
      </w:r>
      <w:r>
        <w:rPr>
          <w:rFonts w:ascii="Times New Roman" w:hAnsi="Times New Roman" w:eastAsia="仿宋_GB2312" w:cs="Times New Roman"/>
          <w:kern w:val="0"/>
          <w:sz w:val="32"/>
          <w:szCs w:val="32"/>
        </w:rPr>
        <w:t>是充分利用微信订阅号和服务号的联动机制，实现“双号引流”。为提高新用户黏性并引流至订阅号，服务号每月以分享的形式，转载四次精选科普文章。目前，服务号每次推送的头条文章平均阅读量已过万。</w:t>
      </w:r>
    </w:p>
    <w:p w14:paraId="6180FDD9">
      <w:pPr>
        <w:pStyle w:val="7"/>
        <w:spacing w:line="520" w:lineRule="exact"/>
        <w:ind w:firstLine="640"/>
        <w:rPr>
          <w:rFonts w:ascii="Times New Roman" w:hAnsi="Times New Roman" w:eastAsia="仿宋_GB2312" w:cs="Times New Roman"/>
        </w:rPr>
      </w:pPr>
      <w:r>
        <w:rPr>
          <w:rFonts w:hint="eastAsia" w:ascii="Times New Roman" w:hAnsi="Times New Roman" w:eastAsia="仿宋_GB2312" w:cs="Times New Roman"/>
          <w:kern w:val="0"/>
          <w:sz w:val="32"/>
          <w:szCs w:val="32"/>
        </w:rPr>
        <w:t>四</w:t>
      </w:r>
      <w:r>
        <w:rPr>
          <w:rFonts w:ascii="Times New Roman" w:hAnsi="Times New Roman" w:eastAsia="仿宋_GB2312" w:cs="Times New Roman"/>
          <w:kern w:val="0"/>
          <w:sz w:val="32"/>
          <w:szCs w:val="32"/>
        </w:rPr>
        <w:t>是通过设置分类标签，精准吸引各类用户。在微信订阅号主界面设置#丁家庄院区动态、#孕期、#女性健康、#儿童健康4类标签，使用户更加便捷准确</w:t>
      </w:r>
      <w:r>
        <w:rPr>
          <w:rFonts w:hint="eastAsia" w:ascii="Times New Roman" w:hAnsi="Times New Roman" w:eastAsia="仿宋_GB2312" w:cs="Times New Roman"/>
          <w:kern w:val="0"/>
          <w:sz w:val="32"/>
          <w:szCs w:val="32"/>
        </w:rPr>
        <w:t>地</w:t>
      </w:r>
      <w:r>
        <w:rPr>
          <w:rFonts w:ascii="Times New Roman" w:hAnsi="Times New Roman" w:eastAsia="仿宋_GB2312" w:cs="Times New Roman"/>
          <w:kern w:val="0"/>
          <w:sz w:val="32"/>
          <w:szCs w:val="32"/>
        </w:rPr>
        <w:t>找到所需信息，提高用户使用感受。</w:t>
      </w:r>
    </w:p>
    <w:p w14:paraId="1F2ED771">
      <w:pPr>
        <w:spacing w:line="52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做好引领，把握宣传“主阵地”。</w:t>
      </w:r>
      <w:r>
        <w:rPr>
          <w:rFonts w:ascii="Times New Roman" w:hAnsi="Times New Roman" w:eastAsia="仿宋_GB2312" w:cs="Times New Roman"/>
          <w:kern w:val="0"/>
          <w:sz w:val="32"/>
          <w:szCs w:val="32"/>
        </w:rPr>
        <w:t>一是院报按专刊形式按期出版，</w:t>
      </w:r>
      <w:r>
        <w:rPr>
          <w:rFonts w:hint="eastAsia" w:ascii="Times New Roman" w:hAnsi="Times New Roman" w:eastAsia="仿宋_GB2312" w:cs="Times New Roman"/>
          <w:kern w:val="0"/>
          <w:sz w:val="32"/>
          <w:szCs w:val="32"/>
        </w:rPr>
        <w:t>2024年共</w:t>
      </w:r>
      <w:r>
        <w:rPr>
          <w:rFonts w:ascii="Times New Roman" w:hAnsi="Times New Roman" w:eastAsia="仿宋_GB2312" w:cs="Times New Roman"/>
          <w:kern w:val="0"/>
          <w:sz w:val="32"/>
          <w:szCs w:val="32"/>
        </w:rPr>
        <w:t>出版1</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期。二是在两院区电子大屏、宣传栏等宣传阵地投放海报、视频、标语等60余条，营造浓厚氛围。三是对医院个人自媒体账号进行排查、督导，根据《南京市妇幼保健院个人自媒体账号管理规定》，排查出的自媒体账号13个完成备案手续，要求每季度上交自媒体自查报告。开展全院意识形态领域风险隐患和对外展示阵地意识形态领域风险排查，对发现的问题及时进行整改。</w:t>
      </w:r>
      <w:r>
        <w:rPr>
          <w:rFonts w:hint="eastAsia" w:ascii="Times New Roman" w:hAnsi="Times New Roman" w:eastAsia="仿宋_GB2312" w:cs="Times New Roman"/>
          <w:kern w:val="0"/>
          <w:sz w:val="32"/>
          <w:szCs w:val="32"/>
        </w:rPr>
        <w:t>四是</w:t>
      </w:r>
      <w:r>
        <w:rPr>
          <w:rFonts w:ascii="Times New Roman" w:hAnsi="Times New Roman" w:eastAsia="仿宋_GB2312" w:cs="Times New Roman"/>
          <w:kern w:val="0"/>
          <w:sz w:val="32"/>
          <w:szCs w:val="32"/>
        </w:rPr>
        <w:t>全年共进行主题日及节日相关报道12次，进行各类宣传周系列策划报道4次，发布至各媒体平台进行新闻报道近百篇次。</w:t>
      </w:r>
    </w:p>
    <w:p w14:paraId="043EE12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获奖情况：宣传处获《建设融媒体中心，筑牢新时代宣传舆论“主阵地”》荣获2024年度全市宣传思想文化工作创新项目；新华报业传媒集团2023年度健康传播优秀奖；丁香园医院汇2023年度最佳品牌传播医疗机构优秀公立医院（地市/县级）50强；个人获奖</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项。</w:t>
      </w:r>
    </w:p>
    <w:p w14:paraId="2EFB7843">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3.满意度</w:t>
      </w:r>
    </w:p>
    <w:p w14:paraId="37AE82D7">
      <w:pPr>
        <w:spacing w:line="52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开展门诊患者问卷调查、住院患者医德医风调查表调查，对所有出院患者进行电话回访。配合国家及南京市卫健委，开展患者第三方满意度调查，及时上报患者信息数据。2024年南京市卫健委第三方出院患者满意度平均得分98.29，较去年同期分别上升0.56%;总体平均满意度99.41%，较去年同期分别上升0.44%;在全市23家被调查的三级医院中的综合满意度得分排名第7位。</w:t>
      </w:r>
    </w:p>
    <w:p w14:paraId="4BE73250">
      <w:pPr>
        <w:widowControl/>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自评得分30分。</w:t>
      </w:r>
    </w:p>
    <w:p w14:paraId="49B4F364">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（五）可持续发展能力</w:t>
      </w:r>
    </w:p>
    <w:p w14:paraId="6B94A0DA">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1.信息化建设情况</w:t>
      </w:r>
    </w:p>
    <w:p w14:paraId="302170FF">
      <w:pPr>
        <w:pStyle w:val="4"/>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医院办公流程、业务开展已通过医院政务OA平台实现流程电子审批(现有流程144条)，随着医院管理的精细化程度不断升入，审批流程一直在不断增加。办公OA系统不仅实现电子流程审批，并逐步实现与财务系统在支出预算申请、固定资产购置申请、合同会签及维修维保申请等方面的数据交互，实现根据不同的费用类型建立预算执行，进行全局控制或者分层、分类型的方案管控。</w:t>
      </w:r>
    </w:p>
    <w:p w14:paraId="68E18C43">
      <w:pPr>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医院建立了以电子病历为中心的医院信息管理系统，信息化建设已通过国家电子病历5级、国家互联互通4甲、国家智慧服务3级的评审，基本完成三位一体智慧医院建设的重要内容，针对患者的医疗服务需要，应用信息技术改善患者就医体验，加强患者信息互联共享，提升医疗服务智慧化水平。</w:t>
      </w:r>
    </w:p>
    <w:p w14:paraId="369E9720">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2.人力资源建设情况</w:t>
      </w:r>
    </w:p>
    <w:p w14:paraId="2D511858">
      <w:pPr>
        <w:spacing w:line="540" w:lineRule="exact"/>
        <w:ind w:firstLine="643"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1.开展人才选拔培养。</w:t>
      </w:r>
      <w:r>
        <w:rPr>
          <w:rFonts w:ascii="Times New Roman" w:hAnsi="Times New Roman" w:eastAsia="仿宋_GB2312" w:cs="Times New Roman"/>
          <w:kern w:val="0"/>
          <w:sz w:val="32"/>
          <w:szCs w:val="32"/>
        </w:rPr>
        <w:t>巩固实施各类人才培养方案，组织开展“十四五”学科带头人、骨干人才、青年人才增选、中期考核等工作，</w:t>
      </w:r>
      <w:r>
        <w:rPr>
          <w:rFonts w:hint="eastAsia" w:ascii="Times New Roman" w:hAnsi="Times New Roman" w:eastAsia="仿宋_GB2312" w:cs="Times New Roman"/>
          <w:kern w:val="0"/>
          <w:sz w:val="32"/>
          <w:szCs w:val="32"/>
        </w:rPr>
        <w:t>2024年有</w:t>
      </w:r>
      <w:r>
        <w:rPr>
          <w:rFonts w:ascii="Times New Roman" w:hAnsi="Times New Roman" w:eastAsia="仿宋_GB2312" w:cs="Times New Roman"/>
          <w:kern w:val="0"/>
          <w:sz w:val="32"/>
          <w:szCs w:val="32"/>
        </w:rPr>
        <w:t>学科带头人32人、骨干人才29人、青年人才55人，推进“星火计划”第三周期工作，确定各层次培养对象29名。以专项基金资助为支柱，通过出国研讨、理论培训、进修学习、科研立项、临床带教、演讲比赛等多种形式，努力培养一批具有“知识全、技能高、专业精”的专科人才队伍，保障优势学科和新兴学科的顺利运行与蓬勃发展。根据医院高层次人才引进和丁家庄院区新增科室人才梯队引进需求，与多学科目标性人才进行定期沟通和需求调研，完成重症医学科、综合内科、血液净化中心、消化内镜中心、健康体检中心等相关增设学科带头人引进，积极规划学科团队建设，组建人才梯队。</w:t>
      </w:r>
    </w:p>
    <w:p w14:paraId="109DA82D">
      <w:pPr>
        <w:pStyle w:val="4"/>
        <w:spacing w:line="540" w:lineRule="exact"/>
        <w:ind w:firstLine="643" w:firstLineChars="200"/>
        <w:rPr>
          <w:rFonts w:ascii="仿宋" w:hAnsi="仿宋" w:eastAsia="仿宋" w:cs="仿宋"/>
          <w:spacing w:val="-6"/>
          <w:sz w:val="32"/>
          <w:szCs w:val="32"/>
        </w:rPr>
      </w:pPr>
      <w:r>
        <w:rPr>
          <w:rFonts w:ascii="Times New Roman" w:hAnsi="Times New Roman" w:eastAsia="楷体_GB2312" w:cs="Times New Roman"/>
          <w:b/>
          <w:bCs/>
          <w:sz w:val="32"/>
          <w:szCs w:val="32"/>
        </w:rPr>
        <w:t>2.开展人才动态考核</w:t>
      </w:r>
      <w:r>
        <w:rPr>
          <w:rFonts w:ascii="Times New Roman" w:hAnsi="Times New Roman" w:eastAsia="仿宋_GB2312" w:cs="Times New Roman"/>
          <w:sz w:val="32"/>
          <w:szCs w:val="32"/>
        </w:rPr>
        <w:t>。</w:t>
      </w:r>
      <w:r>
        <w:rPr>
          <w:rFonts w:hint="eastAsia" w:ascii="仿宋" w:hAnsi="仿宋" w:eastAsia="仿宋" w:cs="仿宋"/>
          <w:spacing w:val="-6"/>
          <w:sz w:val="32"/>
          <w:szCs w:val="32"/>
        </w:rPr>
        <w:t>开展“十四五”人才自评，做好培养效果动态跟踪督导，扎实开展2名杰出人才培养对象及院内“十四五”学科带头人、骨干人才、青年人才2024年度自评工作，全面完成2025年度专项经费拨付任务，切实为人才成长提供资金保障。同时，加强对人才专项经费使用的审核与跟踪，确保资金规范高效运行。通过制度化推进、规范化落实，持续夯实人才发展基础，助力打造政治坚定、业务精湛、结构合理的高素质专业化人才队伍。</w:t>
      </w:r>
    </w:p>
    <w:p w14:paraId="7AD8B5B9">
      <w:pPr>
        <w:spacing w:line="540" w:lineRule="exact"/>
        <w:ind w:firstLine="643" w:firstLineChars="200"/>
        <w:jc w:val="left"/>
        <w:rPr>
          <w:rFonts w:ascii="仿宋" w:hAnsi="仿宋" w:eastAsia="仿宋" w:cs="仿宋"/>
          <w:sz w:val="32"/>
          <w:szCs w:val="32"/>
        </w:rPr>
      </w:pPr>
      <w:r>
        <w:rPr>
          <w:rFonts w:ascii="Times New Roman" w:hAnsi="Times New Roman" w:eastAsia="楷体_GB2312" w:cs="Times New Roman"/>
          <w:b/>
          <w:bCs/>
          <w:sz w:val="32"/>
          <w:szCs w:val="32"/>
        </w:rPr>
        <w:t>3.提升人才社会效应。</w:t>
      </w:r>
      <w:r>
        <w:rPr>
          <w:rFonts w:hint="eastAsia" w:ascii="仿宋" w:hAnsi="仿宋" w:eastAsia="仿宋" w:cs="仿宋"/>
          <w:sz w:val="32"/>
          <w:szCs w:val="32"/>
        </w:rPr>
        <w:t>加快构建塔顶更尖、塔体更强、塔基更厚金字塔形人才结构。为目标人选定制事业发展平台、支持保障政策“两张清单”，推行“以才引才”和“团队服务”相结合，精准延揽海外优秀人才，为2名杰出人才培育对象制定“一人一策”支持政策。新增省级“333工程”二层次培养对象1名、三层次培养对象11名，市中青拔尖培养对象3名。深化博后工作站建设，医院现为国家级博士后科研工作站、南京医科大学生殖医学与子代健康全国重点实验室附属妇产医院分中心。不断完善博士后培养体系，2023年招收2名博士后，科研成果2024年产出显著，取得国家自然科学青年基金2项、中国博士后科学基金2项、江苏省卓越博士后计划2项、江苏省自然科学基金青年基金1项。2024年招收博士后3名，均来自国内一流高校，为推动医院创新发展蓄力赋能。</w:t>
      </w:r>
    </w:p>
    <w:p w14:paraId="408143F1">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3.部门创新情况</w:t>
      </w:r>
    </w:p>
    <w:p w14:paraId="5F3D5A43">
      <w:pPr>
        <w:spacing w:line="5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 w:cs="Times New Roman"/>
          <w:b/>
          <w:bCs/>
          <w:color w:val="000000"/>
          <w:kern w:val="21"/>
          <w:sz w:val="32"/>
          <w:szCs w:val="32"/>
        </w:rPr>
        <w:t>（1）</w:t>
      </w:r>
      <w:r>
        <w:rPr>
          <w:rFonts w:ascii="Times New Roman" w:hAnsi="Times New Roman" w:eastAsia="仿宋" w:cs="Times New Roman"/>
          <w:b/>
          <w:bCs/>
          <w:color w:val="000000"/>
          <w:kern w:val="21"/>
          <w:sz w:val="32"/>
          <w:szCs w:val="32"/>
        </w:rPr>
        <w:t>立足双院区做好减负增效。</w:t>
      </w:r>
      <w:r>
        <w:rPr>
          <w:rFonts w:ascii="Times New Roman" w:hAnsi="Times New Roman" w:eastAsia="仿宋" w:cs="Times New Roman"/>
          <w:color w:val="000000"/>
          <w:kern w:val="21"/>
          <w:sz w:val="32"/>
          <w:szCs w:val="32"/>
        </w:rPr>
        <w:t>医院正式迈入“一院两区”全新格局后，进一步以规范管理为基础，从提升双院区管理效能出发，发挥部门</w:t>
      </w:r>
      <w:r>
        <w:rPr>
          <w:rFonts w:hint="eastAsia" w:ascii="Times New Roman" w:hAnsi="Times New Roman" w:eastAsia="仿宋" w:cs="Times New Roman"/>
          <w:color w:val="000000"/>
          <w:kern w:val="21"/>
          <w:sz w:val="32"/>
          <w:szCs w:val="32"/>
        </w:rPr>
        <w:t>内部</w:t>
      </w:r>
      <w:r>
        <w:rPr>
          <w:rFonts w:ascii="Times New Roman" w:hAnsi="Times New Roman" w:eastAsia="仿宋" w:cs="Times New Roman"/>
          <w:color w:val="000000"/>
          <w:kern w:val="21"/>
          <w:sz w:val="32"/>
          <w:szCs w:val="32"/>
        </w:rPr>
        <w:t>主观能动性，勤于思考、共同讨论，凝心聚力、提升服务。充分利用OA办公系统，优化材料报送、事项审批等流程管理。制定、修订《医院数据和样本管理规定》《行政值班制度》《院长办公会议事规则》等制度16条。进一步提高早交班会、院周会、行政查房等行政会议效率效果，直面问题统筹协调，促进双院区医院管理扁平化，增进临床科室与内设机构之间的协调沟通。行政总值班交班由原来的涉及人员及相关部门分别至院办交班，改为双院区召开早交班视频会交班，院领导、双院区行政总值班、护理总值班，丁家庄院区医疗总值班，及内设机构中层正职均参会；行政查房由原来的会议室座谈改为现场协调；将原院办公会、院周会合并，以双院区视频院周会形式召开，会议议题由原来的统一值班院领导传达部署，改为涉及部门依次现场汇报。以良好的工作方法、习惯倒逼工作质效提升，从文件批办、会议交办、领导指办三个方面狠抓行政督办，以“发单、办理、反馈、通报”督办工作流程，实现“工作有部署、落实有跟踪、成效有反馈”的闭环管理模式，让院领导及时掌握工作情况，做到“心中有数”，为全院整体工作统筹提供助力。申报的《“点”上发力，推动减负增效常态化》获医院管理创新一等奖</w:t>
      </w:r>
      <w:r>
        <w:rPr>
          <w:rFonts w:hint="eastAsia" w:ascii="Times New Roman" w:hAnsi="Times New Roman" w:eastAsia="仿宋" w:cs="Times New Roman"/>
          <w:color w:val="000000"/>
          <w:kern w:val="21"/>
          <w:sz w:val="32"/>
          <w:szCs w:val="32"/>
        </w:rPr>
        <w:t>。</w:t>
      </w:r>
    </w:p>
    <w:p w14:paraId="2CC1562A">
      <w:pPr>
        <w:pStyle w:val="15"/>
        <w:spacing w:line="560" w:lineRule="exact"/>
        <w:ind w:firstLine="64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紧贴热点，拓宽新媒体宣传渠道。</w:t>
      </w:r>
    </w:p>
    <w:p w14:paraId="253707A3">
      <w:pPr>
        <w:pStyle w:val="15"/>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是通过微信视频号，进一步实现宣传内容的快速传播，达到在最短时间内吸引更多的受众人群，增加了粉丝粘性，根据群众需求、健康科普、当下热点话题，发布短视频91部，总浏览数49.96万次，总点赞数14869次。</w:t>
      </w:r>
    </w:p>
    <w:p w14:paraId="56AA5769">
      <w:pPr>
        <w:pStyle w:val="15"/>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是优化升级“宁妇幼直播间”。开设医院专属直播间，配备专业直播设备。走进专业直播机构学习，提升直播的灯光、视角、画面等内容，邀请儿科专家在专业直播间直播，在直播中与观众互动交流、答疑解惑，给观众带来全新的直播体验。</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，宁妇幼直播间开播</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场，主题涵盖分娩知识科普、口腔矫治、亲子益智、女性盆底等多方面内容，累计观看量达17</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67人次。</w:t>
      </w:r>
    </w:p>
    <w:p w14:paraId="35174495">
      <w:pPr>
        <w:pStyle w:val="15"/>
        <w:spacing w:line="560" w:lineRule="exact"/>
        <w:ind w:firstLine="640"/>
        <w:rPr>
          <w:rFonts w:ascii="Times New Roman" w:hAnsi="Times New Roman" w:eastAsia="仿宋_GB2312" w:cs="Times New Roman"/>
          <w:b/>
          <w:bCs/>
          <w:kern w:val="0"/>
          <w:sz w:val="32"/>
          <w:szCs w:val="32"/>
        </w:rPr>
      </w:pPr>
      <w:r>
        <w:rPr>
          <w:rFonts w:ascii="Times New Roman" w:hAnsi="Times New Roman" w:eastAsia="仿宋_GB2312" w:cs="Times New Roman"/>
          <w:sz w:val="32"/>
          <w:szCs w:val="32"/>
        </w:rPr>
        <w:t>三是持续与省级媒体合作，开展直播节目《荔直播•名医问诊》，</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场直播，将妇科、中医科、儿童保健科、营养科、生殖医学中心</w:t>
      </w:r>
      <w:r>
        <w:rPr>
          <w:rFonts w:hint="eastAsia" w:ascii="Times New Roman" w:hAnsi="Times New Roman" w:eastAsia="仿宋_GB2312" w:cs="Times New Roman"/>
          <w:sz w:val="32"/>
          <w:szCs w:val="32"/>
        </w:rPr>
        <w:t>、普外科</w:t>
      </w:r>
      <w:r>
        <w:rPr>
          <w:rFonts w:ascii="Times New Roman" w:hAnsi="Times New Roman" w:eastAsia="仿宋_GB2312" w:cs="Times New Roman"/>
          <w:sz w:val="32"/>
          <w:szCs w:val="32"/>
        </w:rPr>
        <w:t>等专家大咖邀请至直播节目中，以百姓最关注、最聚焦的热点为节目主题，向广大观众进行科普宣教。今年累计播放量已达到2</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万观看人次，单期最高播放量达80万观看人次，在省内影响范围很广，对医院及科室取得了良好的宣传效果。</w:t>
      </w:r>
    </w:p>
    <w:p w14:paraId="6D1EAE1D">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kern w:val="0"/>
          <w:sz w:val="32"/>
          <w:szCs w:val="32"/>
        </w:rPr>
        <w:t>（3）</w:t>
      </w:r>
      <w:r>
        <w:rPr>
          <w:rFonts w:ascii="Times New Roman" w:hAnsi="Times New Roman" w:eastAsia="仿宋_GB2312" w:cs="Times New Roman"/>
          <w:b/>
          <w:bCs/>
          <w:kern w:val="0"/>
          <w:sz w:val="32"/>
          <w:szCs w:val="32"/>
        </w:rPr>
        <w:t>关注科普，开展科普展演大赛。</w:t>
      </w:r>
      <w:r>
        <w:rPr>
          <w:rFonts w:ascii="Times New Roman" w:hAnsi="Times New Roman" w:eastAsia="仿宋_GB2312" w:cs="Times New Roman"/>
          <w:kern w:val="0"/>
          <w:sz w:val="32"/>
          <w:szCs w:val="32"/>
        </w:rPr>
        <w:t>成功举办第二届南京市妇幼保健院健康科普展演大赛，创新了展演形式，采用脱口秀和相声的表演方式，全院13个党支部的21个作品，47名选手参赛。通过活动鼓励广大医务工作者积极参与到健康科普工作中，致力于健康科普传播。</w:t>
      </w:r>
    </w:p>
    <w:p w14:paraId="5145944F">
      <w:pPr>
        <w:pStyle w:val="15"/>
        <w:spacing w:line="56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（4）</w:t>
      </w:r>
      <w:r>
        <w:rPr>
          <w:rFonts w:ascii="Times New Roman" w:hAnsi="Times New Roman" w:eastAsia="仿宋_GB2312" w:cs="Times New Roman"/>
          <w:b/>
          <w:bCs/>
          <w:kern w:val="0"/>
          <w:sz w:val="32"/>
          <w:szCs w:val="32"/>
        </w:rPr>
        <w:t>全媒联动，多视角形成宣传矩阵。</w:t>
      </w:r>
      <w:r>
        <w:rPr>
          <w:rFonts w:ascii="Times New Roman" w:hAnsi="Times New Roman" w:eastAsia="仿宋_GB2312" w:cs="Times New Roman"/>
          <w:kern w:val="0"/>
          <w:sz w:val="32"/>
          <w:szCs w:val="32"/>
        </w:rPr>
        <w:t>在院外媒体宣传方面，拓宽了媒体沟通渠道，优化了媒体投稿机制。以“南京市妇幼宣传工作群”为基本阵地，每日按时按点向新闻媒体进行投稿，全年媒体覆盖量达85.2%。</w:t>
      </w:r>
      <w:r>
        <w:rPr>
          <w:rFonts w:hint="eastAsia" w:ascii="Times New Roman" w:hAnsi="Times New Roman" w:eastAsia="仿宋_GB2312" w:cs="Times New Roman"/>
          <w:kern w:val="0"/>
          <w:sz w:val="32"/>
          <w:szCs w:val="32"/>
        </w:rPr>
        <w:t>2024年，</w:t>
      </w:r>
      <w:r>
        <w:rPr>
          <w:rFonts w:ascii="Times New Roman" w:hAnsi="Times New Roman" w:eastAsia="仿宋_GB2312" w:cs="Times New Roman"/>
          <w:kern w:val="0"/>
          <w:sz w:val="32"/>
          <w:szCs w:val="32"/>
        </w:rPr>
        <w:t>报纸刊登报道1</w:t>
      </w:r>
      <w:r>
        <w:rPr>
          <w:rFonts w:hint="eastAsia" w:ascii="Times New Roman" w:hAnsi="Times New Roman" w:eastAsia="仿宋_GB2312" w:cs="Times New Roman"/>
          <w:kern w:val="0"/>
          <w:sz w:val="32"/>
          <w:szCs w:val="32"/>
        </w:rPr>
        <w:t>82</w:t>
      </w:r>
      <w:r>
        <w:rPr>
          <w:rFonts w:ascii="Times New Roman" w:hAnsi="Times New Roman" w:eastAsia="仿宋_GB2312" w:cs="Times New Roman"/>
          <w:kern w:val="0"/>
          <w:sz w:val="32"/>
          <w:szCs w:val="32"/>
        </w:rPr>
        <w:t>篇次，网络报道6</w:t>
      </w:r>
      <w:r>
        <w:rPr>
          <w:rFonts w:hint="eastAsia" w:ascii="Times New Roman" w:hAnsi="Times New Roman" w:eastAsia="仿宋_GB2312" w:cs="Times New Roman"/>
          <w:kern w:val="0"/>
          <w:sz w:val="32"/>
          <w:szCs w:val="32"/>
        </w:rPr>
        <w:t>57</w:t>
      </w:r>
      <w:r>
        <w:rPr>
          <w:rFonts w:ascii="Times New Roman" w:hAnsi="Times New Roman" w:eastAsia="仿宋_GB2312" w:cs="Times New Roman"/>
          <w:kern w:val="0"/>
          <w:sz w:val="32"/>
          <w:szCs w:val="32"/>
        </w:rPr>
        <w:t>篇次，其中，学习强国平台发布稿件</w:t>
      </w:r>
      <w:r>
        <w:rPr>
          <w:rFonts w:hint="eastAsia" w:ascii="Times New Roman" w:hAnsi="Times New Roman" w:eastAsia="仿宋_GB2312" w:cs="Times New Roman"/>
          <w:kern w:val="0"/>
          <w:sz w:val="32"/>
          <w:szCs w:val="32"/>
        </w:rPr>
        <w:t>95</w:t>
      </w:r>
      <w:r>
        <w:rPr>
          <w:rFonts w:ascii="Times New Roman" w:hAnsi="Times New Roman" w:eastAsia="仿宋_GB2312" w:cs="Times New Roman"/>
          <w:kern w:val="0"/>
          <w:sz w:val="32"/>
          <w:szCs w:val="32"/>
        </w:rPr>
        <w:t>篇，同比增长</w:t>
      </w:r>
      <w:r>
        <w:rPr>
          <w:rFonts w:hint="eastAsia" w:ascii="Times New Roman" w:hAnsi="Times New Roman" w:eastAsia="仿宋_GB2312" w:cs="Times New Roman"/>
          <w:kern w:val="0"/>
          <w:sz w:val="32"/>
          <w:szCs w:val="32"/>
        </w:rPr>
        <w:t>46</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p>
    <w:p w14:paraId="552C060E">
      <w:pPr>
        <w:spacing w:line="520" w:lineRule="exact"/>
        <w:ind w:firstLine="643"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b/>
          <w:bCs/>
          <w:kern w:val="0"/>
          <w:sz w:val="32"/>
          <w:szCs w:val="32"/>
        </w:rPr>
        <w:t>（5）</w:t>
      </w:r>
      <w:r>
        <w:rPr>
          <w:rFonts w:ascii="Times New Roman" w:hAnsi="Times New Roman" w:eastAsia="仿宋_GB2312" w:cs="Times New Roman"/>
          <w:b/>
          <w:bCs/>
          <w:kern w:val="0"/>
          <w:sz w:val="32"/>
          <w:szCs w:val="32"/>
        </w:rPr>
        <w:t>聚焦重点，着力做好丁家庄院区宣传。</w:t>
      </w:r>
    </w:p>
    <w:p w14:paraId="577B816B">
      <w:pPr>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一是坚持大局意识和协同意识，凝聚工作合力，</w:t>
      </w:r>
      <w:r>
        <w:rPr>
          <w:rFonts w:ascii="Times New Roman" w:hAnsi="Times New Roman" w:eastAsia="仿宋_GB2312" w:cs="Times New Roman"/>
          <w:color w:val="000000"/>
          <w:kern w:val="0"/>
          <w:sz w:val="32"/>
          <w:szCs w:val="32"/>
        </w:rPr>
        <w:t>按照“分步实施、各负其责、协同作业、安全有序”的原则，严格按照丁家庄院区搬迁方案，把握时间节点，确保搬迁安全、顺利进行。</w:t>
      </w:r>
    </w:p>
    <w:p w14:paraId="2B4DEDB3">
      <w:pPr>
        <w:widowControl/>
        <w:spacing w:line="52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二是在全院范围内征集医院吉祥物IP名字，最终通过医院职代会确定吉祥物名字为“祺祺、宁宁”。打造吉祥物IP首批文创产品潮玩套装，推进吉祥物十二生肖文化长廊建设，完成吉祥物导医机器人内置素材提供与制作，将“祺祺、宁宁”形象与医院日常宣传深度融合，使吉祥物形象深入人心。</w:t>
      </w:r>
    </w:p>
    <w:p w14:paraId="3A93EDAD">
      <w:pPr>
        <w:widowControl/>
        <w:spacing w:line="52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三是为丰富</w:t>
      </w:r>
      <w:r>
        <w:rPr>
          <w:rFonts w:ascii="仿宋_GB2312" w:hAnsi="Arial" w:eastAsia="仿宋_GB2312" w:cs="Arial"/>
          <w:color w:val="000000"/>
          <w:kern w:val="0"/>
          <w:sz w:val="32"/>
          <w:szCs w:val="32"/>
        </w:rPr>
        <w:t>丁家庄院区文化建设内涵，</w:t>
      </w:r>
      <w:r>
        <w:rPr>
          <w:rFonts w:hint="eastAsia" w:ascii="仿宋_GB2312" w:hAnsi="Arial" w:eastAsia="仿宋_GB2312" w:cs="Arial"/>
          <w:color w:val="000000"/>
          <w:kern w:val="0"/>
          <w:sz w:val="32"/>
          <w:szCs w:val="32"/>
        </w:rPr>
        <w:t>策划组织拍摄丁家庄院区启用宣传片《爱在新生》，以电影感的拍摄手法展示医院的双院区运行，引起群众好评，在各类会议活动中广泛使用；</w:t>
      </w:r>
      <w:r>
        <w:rPr>
          <w:rFonts w:ascii="仿宋_GB2312" w:hAnsi="Arial" w:eastAsia="仿宋_GB2312" w:cs="Arial"/>
          <w:color w:val="000000"/>
          <w:kern w:val="0"/>
          <w:sz w:val="32"/>
          <w:szCs w:val="32"/>
        </w:rPr>
        <w:t>结合医院概况、院史、医院文化等内容，策划制作</w:t>
      </w:r>
      <w:r>
        <w:rPr>
          <w:rFonts w:hint="eastAsia" w:ascii="仿宋_GB2312" w:hAnsi="Arial" w:eastAsia="仿宋_GB2312" w:cs="Arial"/>
          <w:color w:val="000000"/>
          <w:kern w:val="0"/>
          <w:sz w:val="32"/>
          <w:szCs w:val="32"/>
        </w:rPr>
        <w:t>丁家庄院区门诊大厅文化长廊、三楼连廊院史文化长廊、生命科普馆，提升医院文化内涵。</w:t>
      </w:r>
    </w:p>
    <w:p w14:paraId="6D6D5281">
      <w:pPr>
        <w:widowControl/>
        <w:spacing w:line="52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四是</w:t>
      </w:r>
      <w:r>
        <w:rPr>
          <w:rFonts w:ascii="Times New Roman" w:hAnsi="Times New Roman" w:eastAsia="仿宋_GB2312" w:cs="Times New Roman"/>
          <w:sz w:val="32"/>
          <w:szCs w:val="32"/>
        </w:rPr>
        <w:t>为做好丁家庄院区启用的宣传工作，分四阶段制定丁家庄院区推广计划安排，包含素材准备、宣传造势、启用阶段和持续造势。</w:t>
      </w:r>
      <w:r>
        <w:rPr>
          <w:rFonts w:hint="eastAsia" w:ascii="仿宋_GB2312" w:hAnsi="Arial" w:eastAsia="仿宋_GB2312" w:cs="Arial"/>
          <w:color w:val="000000"/>
          <w:kern w:val="0"/>
          <w:sz w:val="32"/>
          <w:szCs w:val="32"/>
        </w:rPr>
        <w:t>开设“丁家庄院区动态”专题，发布图文54期、视频17期，内容包括丁家庄院区周边、交通、就诊、布局等一系列启用相关信息，目前累计阅读量已有近30万次；策划“有奖调研问卷、主播带你看丁家庄院区”等活动，其中有奖问卷调研活动热度较高，吸引近3000名市民参与。</w:t>
      </w:r>
    </w:p>
    <w:p w14:paraId="7DFC9E3B">
      <w:pPr>
        <w:widowControl/>
        <w:spacing w:line="52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五是开展丁家庄院区启用预热宣传。分阶段、批次邀请省市级媒体走进丁家庄院区，从院内环境到医疗特色等多方面进行立体式的启用报道，共邀请14家媒体，进行报道23篇次，在全市形成较强的影响力。承办“网聚金陵 筑‘宁’健康”新媒体交流活动，这是丁家庄院区首次对外活动，有数十位新媒体负责人及网络大V参会，会后“大南京生活圈”等自媒体发布探访丁家庄院区报道，阅读量近5万。</w:t>
      </w:r>
    </w:p>
    <w:p w14:paraId="77FB4328">
      <w:pPr>
        <w:widowControl/>
        <w:spacing w:line="52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六是推广新兴科室，针对性开展普外科、综合内科等六大新兴科室专题系列宣传，为丁家庄院区启用宣传打好基础。结合各科室特色，将科室介绍、健康科普、病例报道都融入宣传范围，形成多层次、全方位的宣传，</w:t>
      </w:r>
      <w:r>
        <w:rPr>
          <w:rFonts w:ascii="Times New Roman" w:hAnsi="Times New Roman" w:eastAsia="仿宋_GB2312" w:cs="Times New Roman"/>
          <w:color w:val="000000"/>
          <w:kern w:val="0"/>
          <w:sz w:val="32"/>
          <w:szCs w:val="32"/>
        </w:rPr>
        <w:t>推送阅读量总计8</w:t>
      </w:r>
      <w:r>
        <w:rPr>
          <w:rFonts w:hint="eastAsia" w:ascii="Times New Roman" w:hAnsi="Times New Roman" w:eastAsia="仿宋_GB2312" w:cs="Times New Roman"/>
          <w:color w:val="000000"/>
          <w:kern w:val="0"/>
          <w:sz w:val="32"/>
          <w:szCs w:val="32"/>
        </w:rPr>
        <w:t>7641</w:t>
      </w:r>
      <w:r>
        <w:rPr>
          <w:rFonts w:ascii="Times New Roman" w:hAnsi="Times New Roman" w:eastAsia="仿宋_GB2312" w:cs="Times New Roman"/>
          <w:color w:val="000000"/>
          <w:kern w:val="0"/>
          <w:sz w:val="32"/>
          <w:szCs w:val="32"/>
        </w:rPr>
        <w:t>次</w:t>
      </w:r>
      <w:r>
        <w:rPr>
          <w:rFonts w:hint="eastAsia" w:ascii="仿宋_GB2312" w:hAnsi="Arial" w:eastAsia="仿宋_GB2312" w:cs="Arial"/>
          <w:color w:val="000000"/>
          <w:kern w:val="0"/>
          <w:sz w:val="32"/>
          <w:szCs w:val="32"/>
        </w:rPr>
        <w:t>，使新兴科室在首次开诊前就积累一定的知名度，助力新兴科室起步阶段的发展。</w:t>
      </w:r>
    </w:p>
    <w:p w14:paraId="79A0EF2D">
      <w:pPr>
        <w:widowControl/>
        <w:spacing w:line="520" w:lineRule="exact"/>
        <w:ind w:firstLine="640" w:firstLineChars="200"/>
        <w:rPr>
          <w:rFonts w:ascii="仿宋_GB2312" w:hAnsi="仿宋_GB2312" w:eastAsia="仿宋_GB2312" w:cs="仿宋_GB2312"/>
          <w:sz w:val="32"/>
          <w:szCs w:val="32"/>
        </w:rPr>
      </w:pPr>
      <w:r>
        <w:rPr>
          <w:rFonts w:hint="eastAsia" w:ascii="仿宋_GB2312" w:hAnsi="Arial" w:eastAsia="仿宋_GB2312" w:cs="Arial"/>
          <w:color w:val="000000"/>
          <w:kern w:val="0"/>
          <w:sz w:val="32"/>
          <w:szCs w:val="32"/>
        </w:rPr>
        <w:t>七是推动丁家庄院区院内宣传阵地建设。在丁家庄院区，宣传处负责管理包括门诊楼一站式服务台大屏、病房楼大厅大屏、3D大屏在内，共计141块电子屏幕。为利用好院内宣传阵地，负责设计制作全套3D大屏播放内容素材，长期更新维护各电子屏对外宣传内容。在院区启用、国庆等重要时间节点，设计制作宣传海报放置于院内6处宣传栏中。</w:t>
      </w:r>
    </w:p>
    <w:p w14:paraId="5004B1B0">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自评得分5分。</w:t>
      </w:r>
    </w:p>
    <w:p w14:paraId="39348699">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（六）其他整体绩效评价加减分情况</w:t>
      </w:r>
    </w:p>
    <w:p w14:paraId="4AA8E978">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w:t>
      </w:r>
      <w:r>
        <w:rPr>
          <w:rFonts w:ascii="Times New Roman" w:hAnsi="Times New Roman" w:eastAsia="仿宋_GB2312" w:cs="仿宋_GB2312"/>
          <w:b/>
          <w:bCs/>
          <w:sz w:val="32"/>
          <w:szCs w:val="32"/>
        </w:rPr>
        <w:t>.</w:t>
      </w:r>
      <w:r>
        <w:rPr>
          <w:rFonts w:hint="eastAsia" w:ascii="Times New Roman" w:hAnsi="Times New Roman" w:eastAsia="仿宋_GB2312" w:cs="仿宋_GB2312"/>
          <w:b/>
          <w:bCs/>
          <w:sz w:val="32"/>
          <w:szCs w:val="32"/>
        </w:rPr>
        <w:t>医院获嘉奖情况</w:t>
      </w:r>
    </w:p>
    <w:p w14:paraId="50DC090A">
      <w:pPr>
        <w:adjustRightInd w:val="0"/>
        <w:snapToGrid w:val="0"/>
        <w:spacing w:line="500" w:lineRule="exact"/>
        <w:ind w:firstLine="643" w:firstLineChars="200"/>
        <w:rPr>
          <w:rFonts w:ascii="Times New Roman" w:hAnsi="Times New Roman" w:eastAsia="仿宋" w:cs="Times New Roman"/>
          <w:b/>
          <w:bCs/>
          <w:color w:val="000000" w:themeColor="text1"/>
          <w:sz w:val="32"/>
          <w:szCs w:val="32"/>
        </w:rPr>
      </w:pPr>
      <w:r>
        <w:rPr>
          <w:rFonts w:ascii="Times New Roman" w:hAnsi="Times New Roman" w:eastAsia="仿宋" w:cs="Times New Roman"/>
          <w:b/>
          <w:bCs/>
          <w:color w:val="000000" w:themeColor="text1"/>
          <w:sz w:val="32"/>
          <w:szCs w:val="32"/>
        </w:rPr>
        <w:t>集体荣誉：</w:t>
      </w:r>
    </w:p>
    <w:p w14:paraId="65DE7B8D">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w:t>
      </w:r>
      <w:r>
        <w:rPr>
          <w:rFonts w:ascii="Times New Roman" w:hAnsi="Times New Roman" w:eastAsia="仿宋" w:cs="Times New Roman"/>
          <w:color w:val="000000"/>
          <w:kern w:val="21"/>
          <w:sz w:val="32"/>
          <w:szCs w:val="32"/>
        </w:rPr>
        <w:t>医院通过国家卫健委医院智慧服务分级评估三级</w:t>
      </w:r>
    </w:p>
    <w:p w14:paraId="66FCA048">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w:t>
      </w:r>
      <w:r>
        <w:rPr>
          <w:rFonts w:ascii="Times New Roman" w:hAnsi="Times New Roman" w:eastAsia="仿宋" w:cs="Times New Roman"/>
          <w:color w:val="000000"/>
          <w:kern w:val="21"/>
          <w:sz w:val="32"/>
          <w:szCs w:val="32"/>
        </w:rPr>
        <w:t>医院被国家卫健委授予“出生缺陷干预救助项目实施机构”2023年度工作成绩突出荣誉证书</w:t>
      </w:r>
    </w:p>
    <w:p w14:paraId="4D3D7197">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（3）</w:t>
      </w:r>
      <w:r>
        <w:rPr>
          <w:rFonts w:ascii="Times New Roman" w:hAnsi="Times New Roman" w:eastAsia="仿宋" w:cs="Times New Roman"/>
          <w:color w:val="000000"/>
          <w:kern w:val="21"/>
          <w:sz w:val="32"/>
          <w:szCs w:val="32"/>
        </w:rPr>
        <w:t>医院被国家卫健委授予“出生缺陷干预救助项目管理机构”2023年度工作成绩突出荣誉证书</w:t>
      </w:r>
    </w:p>
    <w:p w14:paraId="2746146B">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（4）</w:t>
      </w:r>
      <w:r>
        <w:rPr>
          <w:rFonts w:ascii="Times New Roman" w:hAnsi="Times New Roman" w:eastAsia="仿宋" w:cs="Times New Roman"/>
          <w:color w:val="000000"/>
          <w:kern w:val="21"/>
          <w:sz w:val="32"/>
          <w:szCs w:val="32"/>
        </w:rPr>
        <w:t>医院被全国总工会评为2023年全国爱心托育用人单位</w:t>
      </w:r>
    </w:p>
    <w:p w14:paraId="7395CF2A">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（5）</w:t>
      </w:r>
      <w:r>
        <w:rPr>
          <w:rFonts w:ascii="Times New Roman" w:hAnsi="Times New Roman" w:eastAsia="仿宋" w:cs="Times New Roman"/>
          <w:color w:val="000000"/>
          <w:kern w:val="21"/>
          <w:sz w:val="32"/>
          <w:szCs w:val="32"/>
        </w:rPr>
        <w:t>医院获全国GCP机构药物临床试验量值排行榜妇幼医院榜第五名</w:t>
      </w:r>
    </w:p>
    <w:p w14:paraId="4612798D">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（6）</w:t>
      </w:r>
      <w:r>
        <w:rPr>
          <w:rFonts w:ascii="Times New Roman" w:hAnsi="Times New Roman" w:eastAsia="仿宋" w:cs="Times New Roman"/>
          <w:color w:val="000000"/>
          <w:kern w:val="21"/>
          <w:sz w:val="32"/>
          <w:szCs w:val="32"/>
        </w:rPr>
        <w:t>示范托儿所《满“生”欢喜、“育”见未来》获国家卫生健康委生育友好主题优秀短视频</w:t>
      </w:r>
    </w:p>
    <w:p w14:paraId="7FCB4387">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（7）</w:t>
      </w:r>
      <w:r>
        <w:rPr>
          <w:rFonts w:ascii="Times New Roman" w:hAnsi="Times New Roman" w:eastAsia="仿宋" w:cs="Times New Roman"/>
          <w:color w:val="000000"/>
          <w:kern w:val="21"/>
          <w:sz w:val="32"/>
          <w:szCs w:val="32"/>
        </w:rPr>
        <w:t>医院《南京医疗卫生领域数字人民币应用案例》被中国人民银行、中共南京市委金融委员会评为2023年度南京市数字人民币试点工作优秀案例</w:t>
      </w:r>
    </w:p>
    <w:p w14:paraId="20CF483A">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（8）</w:t>
      </w:r>
      <w:r>
        <w:rPr>
          <w:rFonts w:ascii="Times New Roman" w:hAnsi="Times New Roman" w:eastAsia="仿宋" w:cs="Times New Roman"/>
          <w:color w:val="000000"/>
          <w:kern w:val="21"/>
          <w:sz w:val="32"/>
          <w:szCs w:val="32"/>
        </w:rPr>
        <w:t xml:space="preserve">医院《一码在手，安全无忧》获国家卫健委医院管理研究所第三届中国医疗质量大会患者安全工具实例征集典型案例              </w:t>
      </w:r>
    </w:p>
    <w:p w14:paraId="1B6F7843">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（9）</w:t>
      </w:r>
      <w:r>
        <w:rPr>
          <w:rFonts w:ascii="Times New Roman" w:hAnsi="Times New Roman" w:eastAsia="仿宋" w:cs="Times New Roman"/>
          <w:color w:val="000000"/>
          <w:kern w:val="21"/>
          <w:sz w:val="32"/>
          <w:szCs w:val="32"/>
        </w:rPr>
        <w:t>医院《基于患者旅程地图优化孕产妇生育全周期分娩体验》获国家卫健委医院管理研究所“改善就医感受，提升患者体验”创新实践卓越案例</w:t>
      </w:r>
    </w:p>
    <w:p w14:paraId="74088E7A">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（10）</w:t>
      </w:r>
      <w:r>
        <w:rPr>
          <w:rFonts w:ascii="Times New Roman" w:hAnsi="Times New Roman" w:eastAsia="仿宋" w:cs="Times New Roman"/>
          <w:color w:val="000000"/>
          <w:kern w:val="21"/>
          <w:sz w:val="32"/>
          <w:szCs w:val="32"/>
        </w:rPr>
        <w:t>医院《基于QFD提升妊娠期高血压疾病患者健康素养》获国家卫健委医院管理研究所“改善就医感受，提升患者体验”创新实践卓越案例</w:t>
      </w:r>
    </w:p>
    <w:p w14:paraId="261B99E3">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（11）</w:t>
      </w:r>
      <w:r>
        <w:rPr>
          <w:rFonts w:ascii="Times New Roman" w:hAnsi="Times New Roman" w:eastAsia="仿宋" w:cs="Times New Roman"/>
          <w:color w:val="000000"/>
          <w:kern w:val="21"/>
          <w:sz w:val="32"/>
          <w:szCs w:val="32"/>
        </w:rPr>
        <w:t>医院《“云+智+联”赋能专科护理，全面提升围产期就医体验》获国家卫健委医院管理研究所“改善就医感受，提升患者体验”创新实践卓越案例</w:t>
      </w:r>
    </w:p>
    <w:p w14:paraId="3ABDCA95">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（12）</w:t>
      </w:r>
      <w:r>
        <w:rPr>
          <w:rFonts w:ascii="Times New Roman" w:hAnsi="Times New Roman" w:eastAsia="仿宋" w:cs="Times New Roman"/>
          <w:color w:val="000000"/>
          <w:kern w:val="21"/>
          <w:sz w:val="32"/>
          <w:szCs w:val="32"/>
        </w:rPr>
        <w:t>医院《基于三级医院孵化基地妊娠期糖尿病社区护理工作室的设立及实践》获国家卫健委医院管理研究所“改善就医感受，提升患者体验”创新实践卓越案例</w:t>
      </w:r>
    </w:p>
    <w:p w14:paraId="742AFFCA">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（13）</w:t>
      </w:r>
      <w:r>
        <w:rPr>
          <w:rFonts w:ascii="Times New Roman" w:hAnsi="Times New Roman" w:eastAsia="仿宋" w:cs="Times New Roman"/>
          <w:color w:val="000000"/>
          <w:kern w:val="21"/>
          <w:sz w:val="32"/>
          <w:szCs w:val="32"/>
        </w:rPr>
        <w:t>医院《全流程管理在提高抽血效率中的应用》获国家卫健委医院管理研究所“改善就医感受，提升患者体验”创新实践卓越案例</w:t>
      </w:r>
    </w:p>
    <w:p w14:paraId="710A7908">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（14）</w:t>
      </w:r>
      <w:r>
        <w:rPr>
          <w:rFonts w:ascii="Times New Roman" w:hAnsi="Times New Roman" w:eastAsia="仿宋" w:cs="Times New Roman"/>
          <w:color w:val="000000"/>
          <w:kern w:val="21"/>
          <w:sz w:val="32"/>
          <w:szCs w:val="32"/>
        </w:rPr>
        <w:t>医院《以失禁专科护士主导的老年女性压力性尿失禁“院前--院中--院后”闭环康复链》获国家卫健委医院管理研究所“改善就医感受，提升患者体验”创新实践卓越案例</w:t>
      </w:r>
    </w:p>
    <w:p w14:paraId="5BBBDCF3">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（15）</w:t>
      </w:r>
      <w:r>
        <w:rPr>
          <w:rFonts w:ascii="Times New Roman" w:hAnsi="Times New Roman" w:eastAsia="仿宋" w:cs="Times New Roman"/>
          <w:color w:val="000000"/>
          <w:kern w:val="21"/>
          <w:sz w:val="32"/>
          <w:szCs w:val="32"/>
        </w:rPr>
        <w:t>医院《构建儿童保健门诊听力障碍儿童健康服务体系》获国家卫健委医院管理研究所“改善就医感受，提升患者体验”创新实践卓越案例</w:t>
      </w:r>
    </w:p>
    <w:p w14:paraId="17A2131C">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（16）</w:t>
      </w:r>
      <w:r>
        <w:rPr>
          <w:rFonts w:ascii="Times New Roman" w:hAnsi="Times New Roman" w:eastAsia="仿宋" w:cs="Times New Roman"/>
          <w:color w:val="000000"/>
          <w:kern w:val="21"/>
          <w:sz w:val="32"/>
          <w:szCs w:val="32"/>
        </w:rPr>
        <w:t>医保办公室被江苏省医疗保障局评为全省医疗保障系统先进集体</w:t>
      </w:r>
    </w:p>
    <w:p w14:paraId="00976130">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（17）</w:t>
      </w:r>
      <w:r>
        <w:rPr>
          <w:rFonts w:ascii="Times New Roman" w:hAnsi="Times New Roman" w:eastAsia="仿宋" w:cs="Times New Roman"/>
          <w:color w:val="000000"/>
          <w:kern w:val="21"/>
          <w:sz w:val="32"/>
          <w:szCs w:val="32"/>
        </w:rPr>
        <w:t>医院被南京市卫生健康委员会评为南京市儿童孤独症筛查干预培训基地</w:t>
      </w:r>
    </w:p>
    <w:p w14:paraId="77036B40">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（18）</w:t>
      </w:r>
      <w:r>
        <w:rPr>
          <w:rFonts w:ascii="Times New Roman" w:hAnsi="Times New Roman" w:eastAsia="仿宋" w:cs="Times New Roman"/>
          <w:color w:val="000000"/>
          <w:kern w:val="21"/>
          <w:sz w:val="32"/>
          <w:szCs w:val="32"/>
        </w:rPr>
        <w:t>医院被南京市医疗保障局评为医保高铁学习运用先进单位</w:t>
      </w:r>
    </w:p>
    <w:p w14:paraId="128F7585">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（19）</w:t>
      </w:r>
      <w:r>
        <w:rPr>
          <w:rFonts w:ascii="Times New Roman" w:hAnsi="Times New Roman" w:eastAsia="仿宋" w:cs="Times New Roman"/>
          <w:color w:val="000000"/>
          <w:kern w:val="21"/>
          <w:sz w:val="32"/>
          <w:szCs w:val="32"/>
        </w:rPr>
        <w:t>医院被南京市市场监督管理局评为2023年度药品不良反应监测工作先进单位</w:t>
      </w:r>
    </w:p>
    <w:p w14:paraId="55A4AA1B">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（20）</w:t>
      </w:r>
      <w:r>
        <w:rPr>
          <w:rFonts w:ascii="Times New Roman" w:hAnsi="Times New Roman" w:eastAsia="仿宋" w:cs="Times New Roman"/>
          <w:color w:val="000000"/>
          <w:kern w:val="21"/>
          <w:sz w:val="32"/>
          <w:szCs w:val="32"/>
        </w:rPr>
        <w:t>医院《守护被“栓”住的你：一例900克超早产儿PICC相关血栓处理全纪录》获南京市卫健委创作挑战赛优秀作品</w:t>
      </w:r>
    </w:p>
    <w:p w14:paraId="210270A0">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（21）</w:t>
      </w:r>
      <w:r>
        <w:rPr>
          <w:rFonts w:ascii="Times New Roman" w:hAnsi="Times New Roman" w:eastAsia="仿宋" w:cs="Times New Roman"/>
          <w:color w:val="000000"/>
          <w:kern w:val="21"/>
          <w:sz w:val="32"/>
          <w:szCs w:val="32"/>
        </w:rPr>
        <w:t>医院《构建儿童保健门诊听力障碍儿童健康服务体系》获南京市卫健委“改善护理服务行动计划”三级医疗机构三等奖</w:t>
      </w:r>
    </w:p>
    <w:p w14:paraId="7394B479">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（22）</w:t>
      </w:r>
      <w:r>
        <w:rPr>
          <w:rFonts w:ascii="Times New Roman" w:hAnsi="Times New Roman" w:eastAsia="仿宋" w:cs="Times New Roman"/>
          <w:color w:val="000000"/>
          <w:kern w:val="21"/>
          <w:sz w:val="32"/>
          <w:szCs w:val="32"/>
        </w:rPr>
        <w:t>医院《基于患者旅程地图优化孕产妇生育全周期分娩体验》获南京市卫健委“改善护理服务行动计划”三级医疗机构优秀奖</w:t>
      </w:r>
    </w:p>
    <w:p w14:paraId="1931D096">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（23）</w:t>
      </w:r>
      <w:r>
        <w:rPr>
          <w:rFonts w:ascii="Times New Roman" w:hAnsi="Times New Roman" w:eastAsia="仿宋" w:cs="Times New Roman"/>
          <w:color w:val="000000"/>
          <w:kern w:val="21"/>
          <w:sz w:val="32"/>
          <w:szCs w:val="32"/>
        </w:rPr>
        <w:t>产科被评为南京市“推动高质量发展，争当示范引领”先进集体</w:t>
      </w:r>
    </w:p>
    <w:p w14:paraId="5368B804">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（24）</w:t>
      </w:r>
      <w:r>
        <w:rPr>
          <w:rFonts w:ascii="Times New Roman" w:hAnsi="Times New Roman" w:eastAsia="仿宋" w:cs="Times New Roman"/>
          <w:color w:val="000000"/>
          <w:kern w:val="21"/>
          <w:sz w:val="32"/>
          <w:szCs w:val="32"/>
        </w:rPr>
        <w:t>妇产科代表队获南京市卫健委南京地区住院医师规范化培训临床技能竞赛一等奖</w:t>
      </w:r>
    </w:p>
    <w:p w14:paraId="4B3A1998">
      <w:pPr>
        <w:autoSpaceDE w:val="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（25）“医心向党 佑您健康”党建品牌获评江苏省妇幼保健协会党建品牌案例优秀案例一等奖；</w:t>
      </w:r>
    </w:p>
    <w:p w14:paraId="5115E358">
      <w:pPr>
        <w:autoSpaceDE w:val="0"/>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（26）《党建领航助推妇幼保健院高质量发展实践与探索》党建案例获得江苏省医院协会二等奖并受邀作壁报展示；</w:t>
      </w:r>
    </w:p>
    <w:p w14:paraId="4EC15A72">
      <w:pPr>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（27）医院获评中国妇幼保健协会授予“妇幼健康党建与医院文化建设先进单位”称号</w:t>
      </w:r>
    </w:p>
    <w:p w14:paraId="6242CC5E">
      <w:pPr>
        <w:autoSpaceDE w:val="0"/>
        <w:spacing w:line="560" w:lineRule="exact"/>
        <w:ind w:firstLine="640"/>
        <w:rPr>
          <w:rFonts w:ascii="Times New Roman" w:hAnsi="Times New Roman" w:eastAsia="仿宋_GB2312" w:cs="Times New Roman"/>
          <w:sz w:val="32"/>
          <w:szCs w:val="32"/>
        </w:rPr>
      </w:pPr>
      <w:r>
        <w:rPr>
          <w:rFonts w:hint="eastAsia" w:ascii="Times New Roman" w:hAnsi="Times New Roman" w:cs="Times New Roman"/>
          <w:sz w:val="32"/>
          <w:szCs w:val="32"/>
        </w:rPr>
        <w:t>（28）</w:t>
      </w:r>
      <w:r>
        <w:rPr>
          <w:rFonts w:hint="eastAsia" w:ascii="Times New Roman" w:hAnsi="Times New Roman" w:eastAsia="仿宋_GB2312" w:cs="Times New Roman"/>
          <w:sz w:val="32"/>
          <w:szCs w:val="32"/>
        </w:rPr>
        <w:t>医院党建《夯实党建基础 建强战斗堡垒》课题获评江苏省公立医院党建工作创新案例“十佳案例”</w:t>
      </w:r>
    </w:p>
    <w:p w14:paraId="521D3305">
      <w:pPr>
        <w:autoSpaceDE w:val="0"/>
        <w:spacing w:line="560" w:lineRule="exact"/>
        <w:ind w:firstLine="640"/>
        <w:rPr>
          <w:rFonts w:ascii="Times New Roman" w:hAnsi="Times New Roman" w:eastAsia="仿宋_GB2312" w:cs="Times New Roman"/>
          <w:sz w:val="32"/>
          <w:szCs w:val="32"/>
        </w:rPr>
      </w:pPr>
    </w:p>
    <w:p w14:paraId="614A17EC">
      <w:pPr>
        <w:adjustRightInd w:val="0"/>
        <w:snapToGrid w:val="0"/>
        <w:spacing w:line="500" w:lineRule="exact"/>
        <w:ind w:firstLine="643" w:firstLineChars="200"/>
        <w:rPr>
          <w:rFonts w:ascii="Times New Roman" w:hAnsi="Times New Roman" w:eastAsia="仿宋" w:cs="Times New Roman"/>
          <w:b/>
          <w:bCs/>
          <w:color w:val="000000" w:themeColor="text1"/>
          <w:sz w:val="32"/>
          <w:szCs w:val="32"/>
        </w:rPr>
      </w:pPr>
      <w:r>
        <w:rPr>
          <w:rFonts w:ascii="Times New Roman" w:hAnsi="Times New Roman" w:eastAsia="仿宋" w:cs="Times New Roman"/>
          <w:b/>
          <w:bCs/>
          <w:color w:val="000000" w:themeColor="text1"/>
          <w:sz w:val="32"/>
          <w:szCs w:val="32"/>
        </w:rPr>
        <w:t>个人荣誉：</w:t>
      </w:r>
    </w:p>
    <w:p w14:paraId="59A6FDF2">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w:t>
      </w:r>
      <w:r>
        <w:rPr>
          <w:rFonts w:ascii="Times New Roman" w:hAnsi="Times New Roman" w:eastAsia="仿宋" w:cs="Times New Roman"/>
          <w:color w:val="000000"/>
          <w:kern w:val="21"/>
          <w:sz w:val="32"/>
          <w:szCs w:val="32"/>
        </w:rPr>
        <w:t>童梅玲获中国宋庆龄基金会第十三届宋庆龄儿科医学贡献奖</w:t>
      </w:r>
    </w:p>
    <w:p w14:paraId="625A5743">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w:t>
      </w:r>
      <w:r>
        <w:rPr>
          <w:rFonts w:ascii="Times New Roman" w:hAnsi="Times New Roman" w:eastAsia="仿宋" w:cs="Times New Roman"/>
          <w:color w:val="000000"/>
          <w:kern w:val="21"/>
          <w:sz w:val="32"/>
          <w:szCs w:val="32"/>
        </w:rPr>
        <w:t>童梅玲获全国卫生健康系统职业技能竞赛个人特别贡献奖</w:t>
      </w:r>
    </w:p>
    <w:p w14:paraId="58006F5B">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（3）</w:t>
      </w:r>
      <w:r>
        <w:rPr>
          <w:rFonts w:ascii="Times New Roman" w:hAnsi="Times New Roman" w:eastAsia="仿宋" w:cs="Times New Roman"/>
          <w:color w:val="000000"/>
          <w:kern w:val="21"/>
          <w:sz w:val="32"/>
          <w:szCs w:val="32"/>
        </w:rPr>
        <w:t>张敏获全国卫生健康系统职业技能竞赛妇幼健康竞赛危重新生儿救治项目综合笔试单项奖</w:t>
      </w:r>
    </w:p>
    <w:p w14:paraId="17AADBC2">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（4）</w:t>
      </w:r>
      <w:r>
        <w:rPr>
          <w:rFonts w:ascii="Times New Roman" w:hAnsi="Times New Roman" w:eastAsia="仿宋" w:cs="Times New Roman"/>
          <w:color w:val="000000"/>
          <w:kern w:val="21"/>
          <w:sz w:val="32"/>
          <w:szCs w:val="32"/>
        </w:rPr>
        <w:t>张敏获全国卫生健康系统职业技能竞赛妇幼健康竞赛危重新生儿救治项目三等奖</w:t>
      </w:r>
    </w:p>
    <w:p w14:paraId="32498D91">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（5）</w:t>
      </w:r>
      <w:r>
        <w:rPr>
          <w:rFonts w:ascii="Times New Roman" w:hAnsi="Times New Roman" w:eastAsia="仿宋" w:cs="Times New Roman"/>
          <w:color w:val="000000"/>
          <w:kern w:val="21"/>
          <w:sz w:val="32"/>
          <w:szCs w:val="32"/>
        </w:rPr>
        <w:t>魏宁获全国卫生健康系统职业技能竞赛妇幼健康竞赛儿童眼保健项目操作技能一等奖</w:t>
      </w:r>
    </w:p>
    <w:p w14:paraId="16C4C4F0">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（6）</w:t>
      </w:r>
      <w:r>
        <w:rPr>
          <w:rFonts w:ascii="Times New Roman" w:hAnsi="Times New Roman" w:eastAsia="仿宋" w:cs="Times New Roman"/>
          <w:color w:val="000000"/>
          <w:kern w:val="21"/>
          <w:sz w:val="32"/>
          <w:szCs w:val="32"/>
        </w:rPr>
        <w:t>魏宁获全国卫生健康系统职业技能竞赛妇幼健康竞赛儿童眼保健项目操作技能单项奖</w:t>
      </w:r>
    </w:p>
    <w:p w14:paraId="0090C6C9">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（7）</w:t>
      </w:r>
      <w:r>
        <w:rPr>
          <w:rFonts w:ascii="Times New Roman" w:hAnsi="Times New Roman" w:eastAsia="仿宋" w:cs="Times New Roman"/>
          <w:color w:val="000000"/>
          <w:kern w:val="21"/>
          <w:sz w:val="32"/>
          <w:szCs w:val="32"/>
        </w:rPr>
        <w:t>魏宁获全国卫生健康系统职业技能竞赛妇幼健康竞赛儿童眼保健项目综合笔试单项奖</w:t>
      </w:r>
    </w:p>
    <w:p w14:paraId="5F323AD4">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（8）</w:t>
      </w:r>
      <w:r>
        <w:rPr>
          <w:rFonts w:ascii="Times New Roman" w:hAnsi="Times New Roman" w:eastAsia="仿宋" w:cs="Times New Roman"/>
          <w:color w:val="000000"/>
          <w:kern w:val="21"/>
          <w:sz w:val="32"/>
          <w:szCs w:val="32"/>
        </w:rPr>
        <w:t>魏宁获江苏省总工会授予江苏省五一劳动奖章</w:t>
      </w:r>
    </w:p>
    <w:p w14:paraId="1A9E4506">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（9）</w:t>
      </w:r>
      <w:r>
        <w:rPr>
          <w:rFonts w:ascii="Times New Roman" w:hAnsi="Times New Roman" w:eastAsia="仿宋" w:cs="Times New Roman"/>
          <w:color w:val="000000"/>
          <w:kern w:val="21"/>
          <w:sz w:val="32"/>
          <w:szCs w:val="32"/>
        </w:rPr>
        <w:t>张敏被江苏省总工会评为江苏省五一创新能手</w:t>
      </w:r>
    </w:p>
    <w:p w14:paraId="156B6209">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（10）</w:t>
      </w:r>
      <w:r>
        <w:rPr>
          <w:rFonts w:ascii="Times New Roman" w:hAnsi="Times New Roman" w:eastAsia="仿宋" w:cs="Times New Roman"/>
          <w:color w:val="000000"/>
          <w:kern w:val="21"/>
          <w:sz w:val="32"/>
          <w:szCs w:val="32"/>
        </w:rPr>
        <w:t>魏宁被江苏省总工会授予江苏省五一创新</w:t>
      </w:r>
      <w:r>
        <w:rPr>
          <w:rFonts w:hint="eastAsia" w:ascii="Times New Roman" w:hAnsi="Times New Roman" w:eastAsia="仿宋" w:cs="Times New Roman"/>
          <w:color w:val="000000"/>
          <w:kern w:val="21"/>
          <w:sz w:val="32"/>
          <w:szCs w:val="32"/>
        </w:rPr>
        <w:t>能手</w:t>
      </w:r>
    </w:p>
    <w:p w14:paraId="243D2E9C">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（11）</w:t>
      </w:r>
      <w:r>
        <w:rPr>
          <w:rFonts w:ascii="Times New Roman" w:hAnsi="Times New Roman" w:eastAsia="仿宋" w:cs="Times New Roman"/>
          <w:color w:val="000000"/>
          <w:kern w:val="21"/>
          <w:sz w:val="32"/>
          <w:szCs w:val="32"/>
        </w:rPr>
        <w:t>陈德巧被江苏省卫健委评为安全生产工作突出个人</w:t>
      </w:r>
    </w:p>
    <w:p w14:paraId="2F79EEA5">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（12）</w:t>
      </w:r>
      <w:r>
        <w:rPr>
          <w:rFonts w:ascii="Times New Roman" w:hAnsi="Times New Roman" w:eastAsia="仿宋" w:cs="Times New Roman"/>
          <w:color w:val="000000"/>
          <w:kern w:val="21"/>
          <w:sz w:val="32"/>
          <w:szCs w:val="32"/>
        </w:rPr>
        <w:t>张敏被江苏省人力资源和社会保障厅评为江苏省技术能手</w:t>
      </w:r>
    </w:p>
    <w:p w14:paraId="546714F6">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（13）</w:t>
      </w:r>
      <w:r>
        <w:rPr>
          <w:rFonts w:ascii="Times New Roman" w:hAnsi="Times New Roman" w:eastAsia="仿宋" w:cs="Times New Roman"/>
          <w:color w:val="000000"/>
          <w:kern w:val="21"/>
          <w:sz w:val="32"/>
          <w:szCs w:val="32"/>
        </w:rPr>
        <w:t>魏宁被江苏省人力资源和社会保障厅评为江苏省技术能手</w:t>
      </w:r>
    </w:p>
    <w:p w14:paraId="5B40C8E2">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（14）</w:t>
      </w:r>
      <w:r>
        <w:rPr>
          <w:rFonts w:ascii="Times New Roman" w:hAnsi="Times New Roman" w:eastAsia="仿宋" w:cs="Times New Roman"/>
          <w:color w:val="000000"/>
          <w:kern w:val="21"/>
          <w:sz w:val="32"/>
          <w:szCs w:val="32"/>
        </w:rPr>
        <w:t>全惠云被江苏卫生健康职业学院评为优秀实习带教教师</w:t>
      </w:r>
    </w:p>
    <w:p w14:paraId="46E4324F">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（15）</w:t>
      </w:r>
      <w:r>
        <w:rPr>
          <w:rFonts w:ascii="Times New Roman" w:hAnsi="Times New Roman" w:eastAsia="仿宋" w:cs="Times New Roman"/>
          <w:color w:val="000000"/>
          <w:kern w:val="21"/>
          <w:sz w:val="32"/>
          <w:szCs w:val="32"/>
        </w:rPr>
        <w:t>张敏被南京市总工会评为南京市五一创新能手</w:t>
      </w:r>
    </w:p>
    <w:p w14:paraId="4983D5C0">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（16）</w:t>
      </w:r>
      <w:r>
        <w:rPr>
          <w:rFonts w:ascii="Times New Roman" w:hAnsi="Times New Roman" w:eastAsia="仿宋" w:cs="Times New Roman"/>
          <w:color w:val="000000"/>
          <w:kern w:val="21"/>
          <w:sz w:val="32"/>
          <w:szCs w:val="32"/>
        </w:rPr>
        <w:t>李荣被南京市总工会评为南京市五一创新能手</w:t>
      </w:r>
    </w:p>
    <w:p w14:paraId="2E3E0892">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（17）</w:t>
      </w:r>
      <w:r>
        <w:rPr>
          <w:rFonts w:ascii="Times New Roman" w:hAnsi="Times New Roman" w:eastAsia="仿宋" w:cs="Times New Roman"/>
          <w:color w:val="000000"/>
          <w:kern w:val="21"/>
          <w:sz w:val="32"/>
          <w:szCs w:val="32"/>
        </w:rPr>
        <w:t>张敏被南京市人力资源和社会保障局评为南京市技术能手</w:t>
      </w:r>
    </w:p>
    <w:p w14:paraId="731F1744">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（18）</w:t>
      </w:r>
      <w:r>
        <w:rPr>
          <w:rFonts w:ascii="Times New Roman" w:hAnsi="Times New Roman" w:eastAsia="仿宋" w:cs="Times New Roman"/>
          <w:color w:val="000000"/>
          <w:kern w:val="21"/>
          <w:sz w:val="32"/>
          <w:szCs w:val="32"/>
        </w:rPr>
        <w:t>张敏被南京市卫健委评为南京市卫生健康系统妇幼健康岗位能手</w:t>
      </w:r>
    </w:p>
    <w:p w14:paraId="2751B27C">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（19）</w:t>
      </w:r>
      <w:r>
        <w:rPr>
          <w:rFonts w:ascii="Times New Roman" w:hAnsi="Times New Roman" w:eastAsia="仿宋" w:cs="Times New Roman"/>
          <w:color w:val="000000"/>
          <w:kern w:val="21"/>
          <w:sz w:val="32"/>
          <w:szCs w:val="32"/>
        </w:rPr>
        <w:t>丛静被南京市医疗保障局评为“医保高铁”学习运用先进个人</w:t>
      </w:r>
    </w:p>
    <w:p w14:paraId="525371A6">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（20）</w:t>
      </w:r>
      <w:r>
        <w:rPr>
          <w:rFonts w:ascii="Times New Roman" w:hAnsi="Times New Roman" w:eastAsia="仿宋" w:cs="Times New Roman"/>
          <w:color w:val="000000"/>
          <w:kern w:val="21"/>
          <w:sz w:val="32"/>
          <w:szCs w:val="32"/>
        </w:rPr>
        <w:t>程青获农工党南京市委员会2023年度先进个人</w:t>
      </w:r>
    </w:p>
    <w:p w14:paraId="17FBF078">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（21）</w:t>
      </w:r>
      <w:r>
        <w:rPr>
          <w:rFonts w:ascii="Times New Roman" w:hAnsi="Times New Roman" w:eastAsia="仿宋" w:cs="Times New Roman"/>
          <w:color w:val="000000"/>
          <w:kern w:val="21"/>
          <w:sz w:val="32"/>
          <w:szCs w:val="32"/>
        </w:rPr>
        <w:t>许景获南京市卫健委南京市新生儿听力筛查技能比赛一等奖</w:t>
      </w:r>
    </w:p>
    <w:p w14:paraId="1549464C">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（22）</w:t>
      </w:r>
      <w:r>
        <w:rPr>
          <w:rFonts w:ascii="Times New Roman" w:hAnsi="Times New Roman" w:eastAsia="仿宋" w:cs="Times New Roman"/>
          <w:color w:val="000000"/>
          <w:kern w:val="21"/>
          <w:sz w:val="32"/>
          <w:szCs w:val="32"/>
        </w:rPr>
        <w:t>许景获南京市卫健委南京市新生儿听力筛查技能比赛优秀个人奖</w:t>
      </w:r>
    </w:p>
    <w:p w14:paraId="31D9D332">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（23）</w:t>
      </w:r>
      <w:r>
        <w:rPr>
          <w:rFonts w:ascii="Times New Roman" w:hAnsi="Times New Roman" w:eastAsia="仿宋" w:cs="Times New Roman"/>
          <w:color w:val="000000"/>
          <w:kern w:val="21"/>
          <w:sz w:val="32"/>
          <w:szCs w:val="32"/>
        </w:rPr>
        <w:t>赵敏、朱玉青、潘海跃获南京市卫健委科技教育处南京地区住院医师规范化培训临床技能竞赛一等奖</w:t>
      </w:r>
    </w:p>
    <w:p w14:paraId="58F90D35">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（24）</w:t>
      </w:r>
      <w:r>
        <w:rPr>
          <w:rFonts w:ascii="Times New Roman" w:hAnsi="Times New Roman" w:eastAsia="仿宋" w:cs="Times New Roman"/>
          <w:color w:val="000000"/>
          <w:kern w:val="21"/>
          <w:sz w:val="32"/>
          <w:szCs w:val="32"/>
        </w:rPr>
        <w:t>席明名被南京市市场监督管理局评为2023年度南京市药品不良反应监测工作先进个人</w:t>
      </w:r>
    </w:p>
    <w:p w14:paraId="43F4F46A">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（25）</w:t>
      </w:r>
      <w:r>
        <w:rPr>
          <w:rFonts w:ascii="Times New Roman" w:hAnsi="Times New Roman" w:eastAsia="仿宋" w:cs="Times New Roman"/>
          <w:color w:val="000000"/>
          <w:kern w:val="21"/>
          <w:sz w:val="32"/>
          <w:szCs w:val="32"/>
        </w:rPr>
        <w:t>吴丹获2024年南京医科大学第四临床医学院优秀教师奖教金</w:t>
      </w:r>
    </w:p>
    <w:p w14:paraId="5B074697">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（26）</w:t>
      </w:r>
      <w:r>
        <w:rPr>
          <w:rFonts w:ascii="Times New Roman" w:hAnsi="Times New Roman" w:eastAsia="仿宋" w:cs="Times New Roman"/>
          <w:color w:val="000000"/>
          <w:kern w:val="21"/>
          <w:sz w:val="32"/>
          <w:szCs w:val="32"/>
        </w:rPr>
        <w:t>栾婷获2024年南京医科大学第四临床医学院优秀教师奖教金</w:t>
      </w:r>
    </w:p>
    <w:p w14:paraId="2B664689">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（27）</w:t>
      </w:r>
      <w:r>
        <w:rPr>
          <w:rFonts w:ascii="Times New Roman" w:hAnsi="Times New Roman" w:eastAsia="仿宋" w:cs="Times New Roman"/>
          <w:color w:val="000000"/>
          <w:kern w:val="21"/>
          <w:sz w:val="32"/>
          <w:szCs w:val="32"/>
        </w:rPr>
        <w:t xml:space="preserve">胡晓山获南京医科大学第六届青年教师临床带教能力竞赛二等奖    </w:t>
      </w:r>
    </w:p>
    <w:p w14:paraId="452C6023">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（28）</w:t>
      </w:r>
      <w:r>
        <w:rPr>
          <w:rFonts w:ascii="Times New Roman" w:hAnsi="Times New Roman" w:eastAsia="仿宋" w:cs="Times New Roman"/>
          <w:color w:val="000000"/>
          <w:kern w:val="21"/>
          <w:sz w:val="32"/>
          <w:szCs w:val="32"/>
        </w:rPr>
        <w:t>吴丹获南京医科大学第六届青年教师临床带教能力竞赛二等奖</w:t>
      </w:r>
    </w:p>
    <w:p w14:paraId="5C3BC03C">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（29）</w:t>
      </w:r>
      <w:r>
        <w:rPr>
          <w:rFonts w:ascii="Times New Roman" w:hAnsi="Times New Roman" w:eastAsia="仿宋" w:cs="Times New Roman"/>
          <w:color w:val="000000"/>
          <w:kern w:val="21"/>
          <w:sz w:val="32"/>
          <w:szCs w:val="32"/>
        </w:rPr>
        <w:t>王晶获南京医科大学第六届青年临床教师带教能力竞赛二等奖</w:t>
      </w:r>
    </w:p>
    <w:p w14:paraId="178BDFEE">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（30）</w:t>
      </w:r>
      <w:r>
        <w:rPr>
          <w:rFonts w:ascii="Times New Roman" w:hAnsi="Times New Roman" w:eastAsia="仿宋" w:cs="Times New Roman"/>
          <w:color w:val="000000"/>
          <w:kern w:val="21"/>
          <w:sz w:val="32"/>
          <w:szCs w:val="32"/>
        </w:rPr>
        <w:t>栾婷获南京医科大学第六届青年临床教师带教能力竞赛二等奖</w:t>
      </w:r>
    </w:p>
    <w:p w14:paraId="32D3AEC8">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（31）</w:t>
      </w:r>
      <w:r>
        <w:rPr>
          <w:rFonts w:ascii="Times New Roman" w:hAnsi="Times New Roman" w:eastAsia="仿宋" w:cs="Times New Roman"/>
          <w:color w:val="000000"/>
          <w:kern w:val="21"/>
          <w:sz w:val="32"/>
          <w:szCs w:val="32"/>
        </w:rPr>
        <w:t>傅大为被南京卫生高等职业技术学校评为优秀实习带教老师</w:t>
      </w:r>
    </w:p>
    <w:p w14:paraId="38B03C5B">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（32）</w:t>
      </w:r>
      <w:r>
        <w:rPr>
          <w:rFonts w:ascii="Times New Roman" w:hAnsi="Times New Roman" w:eastAsia="仿宋" w:cs="Times New Roman"/>
          <w:color w:val="000000"/>
          <w:kern w:val="21"/>
          <w:sz w:val="32"/>
          <w:szCs w:val="32"/>
        </w:rPr>
        <w:t>吕明英获南京市职工技能大赛南京地区护理人员临床护理技能竞赛母婴护理单项个人一等奖</w:t>
      </w:r>
    </w:p>
    <w:p w14:paraId="45A72D37">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（33）</w:t>
      </w:r>
      <w:r>
        <w:rPr>
          <w:rFonts w:ascii="Times New Roman" w:hAnsi="Times New Roman" w:eastAsia="仿宋" w:cs="Times New Roman"/>
          <w:color w:val="000000"/>
          <w:kern w:val="21"/>
          <w:sz w:val="32"/>
          <w:szCs w:val="32"/>
        </w:rPr>
        <w:t>翁莉、张爱霞、全惠云、洪玲、李克华在南京医科大学护理学院举办的“精益杨帆”师生能力提升行动首届模拟教学项目竞赛中获二等奖</w:t>
      </w:r>
    </w:p>
    <w:p w14:paraId="4EEE8736">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（34）</w:t>
      </w:r>
      <w:r>
        <w:rPr>
          <w:rFonts w:ascii="Times New Roman" w:hAnsi="Times New Roman" w:eastAsia="仿宋" w:cs="Times New Roman"/>
          <w:color w:val="000000"/>
          <w:kern w:val="21"/>
          <w:sz w:val="32"/>
          <w:szCs w:val="32"/>
        </w:rPr>
        <w:t>刘颖、丁磊、李六兰、王义婷在南京医科大学护理学院举办的“精益杨帆”师生能力提升行动首届模拟教学项目竞赛中获三等奖</w:t>
      </w:r>
    </w:p>
    <w:p w14:paraId="154BA38C">
      <w:pPr>
        <w:spacing w:line="500" w:lineRule="exact"/>
        <w:ind w:firstLine="640" w:firstLineChars="200"/>
        <w:rPr>
          <w:rFonts w:ascii="Times New Roman" w:hAnsi="Times New Roman" w:eastAsia="仿宋" w:cs="Times New Roman"/>
          <w:color w:val="000000"/>
          <w:kern w:val="21"/>
          <w:sz w:val="32"/>
          <w:szCs w:val="32"/>
        </w:rPr>
      </w:pPr>
      <w:r>
        <w:rPr>
          <w:rFonts w:hint="eastAsia" w:ascii="Times New Roman" w:hAnsi="Times New Roman" w:eastAsia="仿宋" w:cs="Times New Roman"/>
          <w:color w:val="000000"/>
          <w:kern w:val="21"/>
          <w:sz w:val="32"/>
          <w:szCs w:val="32"/>
        </w:rPr>
        <w:t>（35）</w:t>
      </w:r>
      <w:r>
        <w:rPr>
          <w:rFonts w:ascii="Times New Roman" w:hAnsi="Times New Roman" w:eastAsia="仿宋" w:cs="Times New Roman"/>
          <w:color w:val="000000"/>
          <w:kern w:val="21"/>
          <w:sz w:val="32"/>
          <w:szCs w:val="32"/>
        </w:rPr>
        <w:t>徐萍、王璇、姚露、许艳、李宇欣《温柔的谢幕》获南京市卫健委安宁疗护案例情景个案竞赛二等奖</w:t>
      </w:r>
    </w:p>
    <w:p w14:paraId="11F8A6C2">
      <w:pPr>
        <w:spacing w:line="52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w:t>
      </w:r>
      <w:r>
        <w:rPr>
          <w:rFonts w:ascii="Times New Roman" w:hAnsi="Times New Roman" w:eastAsia="仿宋_GB2312" w:cs="仿宋_GB2312"/>
          <w:b/>
          <w:bCs/>
          <w:sz w:val="32"/>
          <w:szCs w:val="32"/>
        </w:rPr>
        <w:t>.</w:t>
      </w:r>
      <w:r>
        <w:rPr>
          <w:rFonts w:hint="eastAsia" w:ascii="Times New Roman" w:hAnsi="Times New Roman" w:eastAsia="仿宋_GB2312" w:cs="仿宋_GB2312"/>
          <w:b/>
          <w:bCs/>
          <w:sz w:val="32"/>
          <w:szCs w:val="32"/>
        </w:rPr>
        <w:t>违法违纪情况</w:t>
      </w:r>
    </w:p>
    <w:p w14:paraId="3F9026AE">
      <w:pPr>
        <w:spacing w:line="520" w:lineRule="exact"/>
        <w:ind w:firstLine="640" w:firstLineChars="200"/>
        <w:jc w:val="left"/>
        <w:rPr>
          <w:rFonts w:ascii="Times New Roman" w:hAnsi="Times New Roman" w:eastAsia="仿宋_GB2312" w:cs="仿宋_GB2312"/>
          <w:b/>
          <w:bCs/>
          <w:sz w:val="32"/>
          <w:szCs w:val="32"/>
        </w:rPr>
      </w:pPr>
      <w:r>
        <w:rPr>
          <w:rFonts w:hint="eastAsia" w:ascii="仿宋_GB2312" w:hAnsi="仿宋_GB2312" w:eastAsia="仿宋_GB2312" w:cs="仿宋_GB2312"/>
          <w:sz w:val="32"/>
          <w:szCs w:val="32"/>
        </w:rPr>
        <w:t>2024年我院2人受到政纪警告处分。</w:t>
      </w:r>
    </w:p>
    <w:p w14:paraId="3C7B065E">
      <w:pPr>
        <w:pStyle w:val="15"/>
        <w:widowControl/>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自评得分-1分。</w:t>
      </w:r>
    </w:p>
    <w:p w14:paraId="52B3F79A">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三、部门履职成效</w:t>
      </w:r>
    </w:p>
    <w:p w14:paraId="7904501F">
      <w:pPr>
        <w:adjustRightInd w:val="0"/>
        <w:snapToGrid w:val="0"/>
        <w:spacing w:line="500" w:lineRule="exact"/>
        <w:ind w:firstLine="643" w:firstLineChars="200"/>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kern w:val="0"/>
          <w:sz w:val="32"/>
          <w:szCs w:val="32"/>
        </w:rPr>
        <w:t>1</w:t>
      </w:r>
      <w:r>
        <w:rPr>
          <w:rFonts w:ascii="Times New Roman" w:hAnsi="Times New Roman" w:eastAsia="仿宋" w:cs="Times New Roman"/>
          <w:b/>
          <w:bCs/>
          <w:color w:val="000000"/>
          <w:kern w:val="21"/>
          <w:sz w:val="32"/>
          <w:szCs w:val="32"/>
        </w:rPr>
        <w:t>.</w:t>
      </w:r>
      <w:r>
        <w:rPr>
          <w:rFonts w:ascii="Times New Roman" w:hAnsi="Times New Roman" w:eastAsia="楷体" w:cs="Times New Roman"/>
          <w:b/>
          <w:bCs/>
          <w:color w:val="000000"/>
          <w:kern w:val="0"/>
          <w:sz w:val="32"/>
          <w:szCs w:val="32"/>
        </w:rPr>
        <w:t>综合实力全国领先。</w:t>
      </w:r>
      <w:r>
        <w:rPr>
          <w:rFonts w:ascii="Times New Roman" w:hAnsi="Times New Roman" w:eastAsia="仿宋" w:cs="Times New Roman"/>
          <w:color w:val="000000" w:themeColor="text1"/>
          <w:sz w:val="32"/>
          <w:szCs w:val="32"/>
        </w:rPr>
        <w:t>在2023年度全国三级公立医院妇产医院（含妇幼保健院）绩效监测中获最高等级A级；在2023年度全国三级妇幼保健院绩效监测中获最高等级A++级，综合实力稳居全国妇幼健康领域“第一方阵”。</w:t>
      </w:r>
      <w:r>
        <w:rPr>
          <w:rFonts w:ascii="Times New Roman" w:hAnsi="Times New Roman" w:eastAsia="仿宋" w:cs="Times New Roman"/>
          <w:color w:val="000000"/>
          <w:sz w:val="32"/>
          <w:szCs w:val="32"/>
        </w:rPr>
        <w:t>2024年，医院门急诊量216.70万人次，较去年同期上升9.37%；出院人数7.29万人次，较去年同期上升13.19%；手术总数3.76万人次，较去年同期上升12.23%，其中四级手术6398人次，占比17.03%；分娩总数22994人次，较去年同期上升22.47%；占全市活产数比例35.78%，在全市占比同比增长2.1%。其中，丁家庄院区（2024年9月至12月）门急诊量14.26万人次，占同期门急诊总量19.11%；出院人数9642人次，占同期出院总数41.68%；住院手术人数5784人次，占同期住院手术总数44.07%；分娩人数2247人次，占同期分娩总数26.94%。</w:t>
      </w:r>
    </w:p>
    <w:p w14:paraId="776818B0">
      <w:pPr>
        <w:adjustRightInd w:val="0"/>
        <w:snapToGrid w:val="0"/>
        <w:spacing w:line="500" w:lineRule="exact"/>
        <w:ind w:firstLine="643" w:firstLineChars="200"/>
        <w:jc w:val="left"/>
        <w:rPr>
          <w:rFonts w:ascii="Times New Roman" w:hAnsi="Times New Roman" w:eastAsia="楷体" w:cs="Times New Roman"/>
          <w:b/>
          <w:bCs/>
          <w:color w:val="000000"/>
          <w:sz w:val="32"/>
          <w:szCs w:val="32"/>
        </w:rPr>
      </w:pPr>
      <w:r>
        <w:rPr>
          <w:rFonts w:ascii="Times New Roman" w:hAnsi="Times New Roman" w:eastAsia="楷体" w:cs="Times New Roman"/>
          <w:b/>
          <w:bCs/>
          <w:color w:val="000000" w:themeColor="text1"/>
          <w:kern w:val="0"/>
          <w:sz w:val="32"/>
          <w:szCs w:val="32"/>
        </w:rPr>
        <w:t>2.党建引领凝聚合力。</w:t>
      </w:r>
      <w:r>
        <w:rPr>
          <w:rFonts w:ascii="Times New Roman" w:hAnsi="Times New Roman" w:eastAsia="仿宋" w:cs="Times New Roman"/>
          <w:color w:val="000000" w:themeColor="text1"/>
          <w:kern w:val="21"/>
          <w:sz w:val="32"/>
          <w:szCs w:val="32"/>
        </w:rPr>
        <w:t>坚持把深入学习贯彻习近平新时代中国特色社会主义思想作为重要政治任务，全面贯彻落实党的</w:t>
      </w:r>
      <w:r>
        <w:rPr>
          <w:rFonts w:hint="eastAsia" w:ascii="Times New Roman" w:hAnsi="Times New Roman" w:eastAsia="仿宋" w:cs="Times New Roman"/>
          <w:color w:val="000000" w:themeColor="text1"/>
          <w:kern w:val="21"/>
          <w:sz w:val="32"/>
          <w:szCs w:val="32"/>
        </w:rPr>
        <w:t>二十大和二十届历次全会精神</w:t>
      </w:r>
      <w:bookmarkStart w:id="2" w:name="_GoBack"/>
      <w:bookmarkEnd w:id="2"/>
      <w:r>
        <w:rPr>
          <w:rFonts w:ascii="Times New Roman" w:hAnsi="Times New Roman" w:eastAsia="仿宋" w:cs="Times New Roman"/>
          <w:color w:val="000000" w:themeColor="text1"/>
          <w:kern w:val="21"/>
          <w:sz w:val="32"/>
          <w:szCs w:val="32"/>
        </w:rPr>
        <w:t>，在全院范围内开展党的二十届三中全会精神轮训，形成强大思想合力和行动动力，为医院高质量发展提供思想指引。推进党支部标准化规范化建设，持续创新党建形式，构建党建品牌矩阵，以“医心向党 佑您健康”党建品牌为统领，积极打造“一支部一品牌”。医院被中国妇幼保健协会评为“妇幼健康党建与医院文化建设先进单位”，《夯实党建基础 坚强战斗堡垒》获江苏省医院党建工作指导委员会“江苏省公立医院党建工作创新案例十佳案例”、产科被市委、市政府评为“南京推动高质量发展，争当示范引领先进集体”。</w:t>
      </w:r>
    </w:p>
    <w:p w14:paraId="70BC63D6">
      <w:pPr>
        <w:adjustRightInd w:val="0"/>
        <w:snapToGrid w:val="0"/>
        <w:spacing w:line="500" w:lineRule="exact"/>
        <w:ind w:firstLine="643" w:firstLineChars="200"/>
        <w:rPr>
          <w:rFonts w:ascii="Times New Roman" w:hAnsi="Times New Roman" w:eastAsia="仿宋" w:cs="Times New Roman"/>
          <w:color w:val="000000"/>
          <w:kern w:val="21"/>
          <w:sz w:val="32"/>
          <w:szCs w:val="32"/>
          <w:highlight w:val="cyan"/>
          <w:shd w:val="clear" w:color="auto" w:fill="FFFFFF"/>
        </w:rPr>
      </w:pPr>
      <w:r>
        <w:rPr>
          <w:rFonts w:hint="eastAsia" w:ascii="Times New Roman" w:hAnsi="Times New Roman" w:eastAsia="楷体" w:cs="Times New Roman"/>
          <w:b/>
          <w:bCs/>
          <w:color w:val="000000"/>
          <w:sz w:val="32"/>
          <w:szCs w:val="32"/>
        </w:rPr>
        <w:t>3</w:t>
      </w:r>
      <w:r>
        <w:rPr>
          <w:rFonts w:ascii="Times New Roman" w:hAnsi="Times New Roman" w:eastAsia="仿宋" w:cs="Times New Roman"/>
          <w:b/>
          <w:bCs/>
          <w:color w:val="000000"/>
          <w:kern w:val="21"/>
          <w:sz w:val="32"/>
          <w:szCs w:val="32"/>
        </w:rPr>
        <w:t>.</w:t>
      </w:r>
      <w:r>
        <w:rPr>
          <w:rFonts w:ascii="Times New Roman" w:hAnsi="Times New Roman" w:eastAsia="楷体" w:cs="Times New Roman"/>
          <w:b/>
          <w:bCs/>
          <w:color w:val="000000"/>
          <w:kern w:val="0"/>
          <w:sz w:val="32"/>
          <w:szCs w:val="32"/>
        </w:rPr>
        <w:t>学</w:t>
      </w:r>
      <w:r>
        <w:rPr>
          <w:rFonts w:ascii="Times New Roman" w:hAnsi="Times New Roman" w:eastAsia="楷体" w:cs="Times New Roman"/>
          <w:b/>
          <w:color w:val="000000"/>
          <w:sz w:val="32"/>
          <w:szCs w:val="32"/>
        </w:rPr>
        <w:t>科建设再上台阶</w:t>
      </w:r>
      <w:r>
        <w:rPr>
          <w:rFonts w:ascii="Times New Roman" w:hAnsi="Times New Roman" w:eastAsia="楷体" w:cs="Times New Roman"/>
          <w:color w:val="000000"/>
          <w:sz w:val="32"/>
          <w:szCs w:val="32"/>
        </w:rPr>
        <w:t>。</w:t>
      </w:r>
      <w:r>
        <w:rPr>
          <w:rFonts w:ascii="Times New Roman" w:hAnsi="Times New Roman" w:eastAsia="仿宋" w:cs="Times New Roman"/>
          <w:color w:val="000000" w:themeColor="text1"/>
          <w:kern w:val="21"/>
          <w:sz w:val="32"/>
          <w:szCs w:val="32"/>
        </w:rPr>
        <w:t>科学谋划学科建设，依托优势学科打造精品专科，健全学科支撑体系。持续强化传统的产科、妇科、新生儿科、麻醉科、产前诊断（遗传）研究室、中医科等重点专科，聚力发展血液净化中心、消化内镜中心、小儿外科、疼痛科等特色科室，精心打造重症医学科、综合内科、普外科、急诊医学科等支撑科室，聚焦女性全生命周期提供更加精细化医疗服务。2024年，获批国家妇幼中医药特色建设单位、国家中西医协同“旗舰”科室建设项目；成功创建江苏省儿童孤独症筛查干预培训基地、江苏省宫颈癌综合防治一体化门诊；新增超声诊断、儿童保健科、妇女保健科、妇女营养、计划生育、生殖健康与不孕症、医学检验科、药学8个专科为2024年第十三周期南京市医学重点专科。</w:t>
      </w:r>
    </w:p>
    <w:p w14:paraId="398E1AB0">
      <w:pPr>
        <w:adjustRightInd w:val="0"/>
        <w:snapToGrid w:val="0"/>
        <w:spacing w:line="500" w:lineRule="exact"/>
        <w:ind w:firstLine="643" w:firstLineChars="200"/>
        <w:rPr>
          <w:rFonts w:ascii="Times New Roman" w:hAnsi="Times New Roman" w:eastAsia="仿宋_GB2312" w:cs="Times New Roman"/>
          <w:bCs/>
          <w:color w:val="000000"/>
          <w:sz w:val="32"/>
          <w:szCs w:val="32"/>
          <w:highlight w:val="yellow"/>
        </w:rPr>
      </w:pPr>
      <w:r>
        <w:rPr>
          <w:rFonts w:hint="eastAsia" w:ascii="Times New Roman" w:hAnsi="Times New Roman" w:eastAsia="楷体" w:cs="Times New Roman"/>
          <w:b/>
          <w:bCs/>
          <w:color w:val="000000"/>
          <w:sz w:val="32"/>
          <w:szCs w:val="32"/>
        </w:rPr>
        <w:t>4</w:t>
      </w:r>
      <w:r>
        <w:rPr>
          <w:rFonts w:ascii="Times New Roman" w:hAnsi="Times New Roman" w:eastAsia="楷体" w:cs="Times New Roman"/>
          <w:b/>
          <w:bCs/>
          <w:color w:val="000000"/>
          <w:sz w:val="32"/>
          <w:szCs w:val="32"/>
        </w:rPr>
        <w:t>.科研工作卓有成效</w:t>
      </w:r>
      <w:r>
        <w:rPr>
          <w:rFonts w:ascii="Times New Roman" w:hAnsi="Times New Roman" w:eastAsia="仿宋_GB2312" w:cs="Times New Roman"/>
          <w:b/>
          <w:bCs/>
          <w:color w:val="000000"/>
          <w:sz w:val="32"/>
          <w:szCs w:val="32"/>
        </w:rPr>
        <w:t>。</w:t>
      </w:r>
      <w:r>
        <w:rPr>
          <w:rFonts w:ascii="Times New Roman" w:hAnsi="Times New Roman" w:eastAsia="仿宋" w:cs="Times New Roman"/>
          <w:color w:val="000000" w:themeColor="text1"/>
          <w:kern w:val="21"/>
          <w:sz w:val="32"/>
          <w:szCs w:val="32"/>
        </w:rPr>
        <w:t>以解决妇幼领域重大临床问题、重大科学难题为导向，重点聚焦女性生育力保护和全生命周期健康管理，鼓励开展高水平原创研究。2024年，立项课题94项，其中国自然10项；获各级各类成果奖18项，其中第十三届宋庆龄儿科医学贡献奖1项、华夏医学科技奖一等奖1项；发表论文436篇，其中SCI论文132篇，</w:t>
      </w:r>
      <w:r>
        <w:rPr>
          <w:rFonts w:hint="eastAsia" w:ascii="Times New Roman" w:hAnsi="Times New Roman" w:eastAsia="仿宋" w:cs="Times New Roman"/>
          <w:color w:val="000000" w:themeColor="text1"/>
          <w:kern w:val="21"/>
          <w:sz w:val="32"/>
          <w:szCs w:val="32"/>
        </w:rPr>
        <w:t>中国科学院</w:t>
      </w:r>
      <w:r>
        <w:rPr>
          <w:rFonts w:ascii="Times New Roman" w:hAnsi="Times New Roman" w:eastAsia="仿宋" w:cs="Times New Roman"/>
          <w:color w:val="000000" w:themeColor="text1"/>
          <w:kern w:val="21"/>
          <w:sz w:val="32"/>
          <w:szCs w:val="32"/>
        </w:rPr>
        <w:t>一区论文16篇（包括Cell、PNAS等顶刊）。积极探索有组织科研体系，推进“女性生育力保护及重塑医学重点实验室”“发育行为儿科医学重点实验室”建设，在内异症、生育力保护、孤独症等方向取得重要突破。有序推进细胞治疗创新中心、妇幼特色样本资源库等高水平创新研究平台建设，为高质量科技创新服务支撑。与学校、研究所加强紧密合作，开展学科交叉融合研究，完成科技成果转化1项，推进4项发明专利至转化谈判阶段。</w:t>
      </w:r>
    </w:p>
    <w:p w14:paraId="2CAF83E5">
      <w:pPr>
        <w:widowControl/>
        <w:adjustRightInd w:val="0"/>
        <w:snapToGrid w:val="0"/>
        <w:spacing w:line="500" w:lineRule="exact"/>
        <w:ind w:firstLine="643" w:firstLineChars="200"/>
        <w:rPr>
          <w:rFonts w:ascii="Times New Roman" w:hAnsi="Times New Roman" w:eastAsia="仿宋" w:cs="Times New Roman"/>
          <w:color w:val="000000"/>
          <w:kern w:val="21"/>
          <w:sz w:val="32"/>
          <w:szCs w:val="32"/>
          <w:highlight w:val="yellow"/>
        </w:rPr>
      </w:pPr>
      <w:r>
        <w:rPr>
          <w:rFonts w:hint="eastAsia" w:ascii="Times New Roman" w:hAnsi="Times New Roman" w:eastAsia="楷体" w:cs="Times New Roman"/>
          <w:b/>
          <w:bCs/>
          <w:color w:val="000000"/>
          <w:sz w:val="32"/>
          <w:szCs w:val="32"/>
        </w:rPr>
        <w:t>5</w:t>
      </w:r>
      <w:r>
        <w:rPr>
          <w:rFonts w:ascii="Times New Roman" w:hAnsi="Times New Roman" w:eastAsia="楷体" w:cs="Times New Roman"/>
          <w:b/>
          <w:bCs/>
          <w:color w:val="000000"/>
          <w:sz w:val="32"/>
          <w:szCs w:val="32"/>
        </w:rPr>
        <w:t>.人才梯队日趋完善。</w:t>
      </w:r>
      <w:r>
        <w:rPr>
          <w:rFonts w:ascii="Times New Roman" w:hAnsi="Times New Roman" w:eastAsia="仿宋" w:cs="Times New Roman"/>
          <w:color w:val="000000" w:themeColor="text1"/>
          <w:kern w:val="21"/>
          <w:sz w:val="32"/>
          <w:szCs w:val="32"/>
        </w:rPr>
        <w:t>聚焦学科整体布局和业务发展需求，多渠道吸纳高层次人才，完成消化内镜中心、综合内科、急诊医学科等学科带头人引进及新增科室团队引才工作；为2名杰出人才培育对象制定“一人一策”支持政策，持续做好院内32名学科带头人、29名骨干人才、54名青年人才培养效果动态跟踪督导，为不同发展阶段人才提供全链条支撑。以国家级博士后科研工作站为平台，以创新突破为目标，进一步完善博士后培养体系，推动学科交叉融合。提供优质科研平台和职业发展空间，多渠道吸纳具有较强创新能力和发展潜力人才，壮大专职科研人员和博士后队伍。在合作导师、培养经费、科研平台等方面加大经费投入，探索与国内外高水平专家多学科联合培养模式，培养国际化视野拔尖人才。2024年，新增江苏省第七期“333工程”二层次人才1人、三层次11人；博士后3人；各级各类学会、协会任职132人次。</w:t>
      </w:r>
    </w:p>
    <w:p w14:paraId="1B5FACA3">
      <w:pPr>
        <w:adjustRightInd w:val="0"/>
        <w:snapToGrid w:val="0"/>
        <w:spacing w:line="500" w:lineRule="exact"/>
        <w:ind w:firstLine="643" w:firstLineChars="200"/>
        <w:rPr>
          <w:rFonts w:ascii="Times New Roman" w:hAnsi="Times New Roman" w:eastAsia="仿宋" w:cs="Times New Roman"/>
          <w:color w:val="000000" w:themeColor="text1"/>
          <w:kern w:val="21"/>
          <w:sz w:val="32"/>
          <w:szCs w:val="32"/>
        </w:rPr>
      </w:pPr>
      <w:r>
        <w:rPr>
          <w:rFonts w:hint="eastAsia" w:ascii="Times New Roman" w:hAnsi="Times New Roman" w:eastAsia="楷体" w:cs="Times New Roman"/>
          <w:b/>
          <w:bCs/>
          <w:color w:val="000000"/>
          <w:sz w:val="32"/>
          <w:szCs w:val="32"/>
        </w:rPr>
        <w:t>6</w:t>
      </w:r>
      <w:r>
        <w:rPr>
          <w:rFonts w:ascii="Times New Roman" w:hAnsi="Times New Roman" w:eastAsia="楷体" w:cs="Times New Roman"/>
          <w:b/>
          <w:bCs/>
          <w:color w:val="000000"/>
          <w:sz w:val="32"/>
          <w:szCs w:val="32"/>
        </w:rPr>
        <w:t>.加快智慧医院建设。</w:t>
      </w:r>
      <w:r>
        <w:rPr>
          <w:rFonts w:ascii="Times New Roman" w:hAnsi="Times New Roman" w:eastAsia="仿宋" w:cs="Times New Roman"/>
          <w:color w:val="000000" w:themeColor="text1"/>
          <w:kern w:val="21"/>
          <w:sz w:val="32"/>
          <w:szCs w:val="32"/>
        </w:rPr>
        <w:t>按照国家医院信息化建设标准与规范，以“电子病历为核心，智慧服务为抓手，互联互通为桥梁”，搭建双院区同质化信息系统，以统一的数据标准、同一套电子病历/HIS/检查检验系统、统一的数据库、统一的服务平台及临床数据中心，实现双院区医疗运营数据集中存储和利用，诊疗记录、检查检验等信息相互调阅共享，保障诊疗行为同质化。通过统一的质量运营监测体系，实时掌握双院区运行情况，助力管理一体化。基于电子病历六级及互联互通五乙要求，对标进行系统升级改造，完成检验、检查、危急值、会诊、输血、门诊输液闭环上线改造。围绕智慧服务建设框架，优化智慧服务体系，构建线上线下全流程一体化就医新模式，顺利通过国家智慧服务三级评审，提前完成既定绩效目标，为南京市属医院中第二家通过单位。</w:t>
      </w:r>
    </w:p>
    <w:p w14:paraId="4A389487">
      <w:pPr>
        <w:adjustRightInd w:val="0"/>
        <w:snapToGrid w:val="0"/>
        <w:spacing w:line="500" w:lineRule="exact"/>
        <w:ind w:firstLine="643" w:firstLineChars="200"/>
        <w:rPr>
          <w:rFonts w:ascii="Times New Roman" w:hAnsi="Times New Roman" w:eastAsia="仿宋" w:cs="Times New Roman"/>
          <w:color w:val="000000" w:themeColor="text1"/>
          <w:kern w:val="21"/>
          <w:sz w:val="32"/>
          <w:szCs w:val="32"/>
        </w:rPr>
      </w:pPr>
      <w:r>
        <w:rPr>
          <w:rFonts w:hint="eastAsia" w:ascii="Times New Roman" w:hAnsi="Times New Roman" w:eastAsia="楷体" w:cs="Times New Roman"/>
          <w:b/>
          <w:bCs/>
          <w:color w:val="000000"/>
          <w:sz w:val="32"/>
          <w:szCs w:val="32"/>
        </w:rPr>
        <w:t>7</w:t>
      </w:r>
      <w:r>
        <w:rPr>
          <w:rFonts w:ascii="Times New Roman" w:hAnsi="Times New Roman" w:eastAsia="楷体" w:cs="Times New Roman"/>
          <w:b/>
          <w:bCs/>
          <w:color w:val="000000"/>
          <w:sz w:val="32"/>
          <w:szCs w:val="32"/>
        </w:rPr>
        <w:t>.持续改善医疗服务。</w:t>
      </w:r>
      <w:r>
        <w:rPr>
          <w:rFonts w:ascii="Times New Roman" w:hAnsi="Times New Roman" w:eastAsia="仿宋" w:cs="Times New Roman"/>
          <w:color w:val="000000" w:themeColor="text1"/>
          <w:kern w:val="21"/>
          <w:sz w:val="32"/>
          <w:szCs w:val="32"/>
        </w:rPr>
        <w:t>围绕群众就诊需求，持续优化公众号“患者通道”服务功能，实现检查、治疗、手术等线上预约，丰富预约途径；完成互联网医院全新改版升级上线，为患者提供互联网门诊咨询、复诊预约、就诊、检验检查开单、取药等全流程医疗服务，拓展线上诊疗服务范围，让患者足不出户即可享受到优质医疗资源。加强江苏省老年友善医疗机构建设，优化助老就诊环境，做实为老服务内涵，切实提升老年患者就医获得感、满意度。推进电话访视数据库改造，开展延伸服务，提供答疑解惑、心理疏导服务，完善出院患者从访视追踪到复诊通道的闭环式管理，有效提升医疗服务整体效能。以全生命周期健康服务为核心，开展出院复诊患者电话访视及健康宣教工作，了解患者需求，提供复诊指导、现场挂号、导诊、陪诊等服务，制定闭环服务流程，满足患者就医需求。持续推进优质护理服务，开展“一部一主题”活动，多维度发力，优化服务流程，推动护理服务质量提升。获2024年全国“改善就医感受，提升患者体验”创新实践案例15项。</w:t>
      </w:r>
    </w:p>
    <w:p w14:paraId="258FD422">
      <w:pPr>
        <w:adjustRightInd w:val="0"/>
        <w:snapToGrid w:val="0"/>
        <w:spacing w:line="500" w:lineRule="exact"/>
        <w:ind w:firstLine="643" w:firstLineChars="200"/>
        <w:rPr>
          <w:rFonts w:ascii="Times New Roman" w:hAnsi="Times New Roman" w:eastAsia="仿宋" w:cs="Times New Roman"/>
          <w:color w:val="000000"/>
          <w:kern w:val="21"/>
          <w:sz w:val="32"/>
          <w:szCs w:val="32"/>
        </w:rPr>
      </w:pPr>
      <w:r>
        <w:rPr>
          <w:rFonts w:ascii="Times New Roman" w:hAnsi="Times New Roman" w:eastAsia="楷体" w:cs="Times New Roman"/>
          <w:b/>
          <w:bCs/>
          <w:color w:val="000000"/>
          <w:sz w:val="32"/>
          <w:szCs w:val="32"/>
        </w:rPr>
        <w:t>8.管理效能显著提升。</w:t>
      </w:r>
      <w:r>
        <w:rPr>
          <w:rFonts w:ascii="Times New Roman" w:hAnsi="Times New Roman" w:eastAsia="仿宋" w:cs="Times New Roman"/>
          <w:color w:val="000000"/>
          <w:kern w:val="21"/>
          <w:sz w:val="32"/>
          <w:szCs w:val="32"/>
        </w:rPr>
        <w:t>全面上线运营助理分析系统，进行业务数据与财务数据融合分析，以图表形式直观实时展现，助力医院经济运营分析，从基本运营状况、收支结构、手术结构、主要评价及建议等多方位、多角度深度解读财务与业务数据，为全面掌握医院经济运营状况、精细化管理和运营决策提供数据支撑。深入推进全面预算管理，完善全面预算前端控制，细化预算项目库，扩大预算强控范围，硬化预算约束，严格实现无预算不支出。全面构建全成本核算体系，开展按科室成本、项目成本和病种成本、DRGs成本核算，重视成本核算数据分析和利用工作，促进内部降低医疗服务和管理成本。建立健全内部控制管理和风险监控制度，实现医院内部控制评价常态化管理。2024年医疗服务收入（不含药品、耗材、检查、化验收入）占医院医疗收入比例41.09%，人员支出占业务支出比例50.03%，达到既定绩效目标。利用智慧化管理平台推进后勤服务转型，成立后勤运维中心，建立后勤服务智慧化管理体系，对后勤运维、楼宇控制、零星维修、节能降耗、成本管控等实施精细化管理。</w:t>
      </w:r>
    </w:p>
    <w:p w14:paraId="6316EB68">
      <w:pPr>
        <w:spacing w:line="500" w:lineRule="exact"/>
        <w:ind w:firstLine="643" w:firstLineChars="200"/>
        <w:rPr>
          <w:rFonts w:ascii="仿宋" w:hAnsi="仿宋" w:eastAsia="仿宋" w:cs="仿宋"/>
          <w:b/>
          <w:bCs/>
          <w:color w:val="000000"/>
          <w:kern w:val="21"/>
          <w:sz w:val="32"/>
          <w:szCs w:val="32"/>
        </w:rPr>
      </w:pPr>
      <w:r>
        <w:rPr>
          <w:rFonts w:ascii="Times New Roman" w:hAnsi="Times New Roman" w:eastAsia="楷体" w:cs="Times New Roman"/>
          <w:b/>
          <w:bCs/>
          <w:color w:val="000000"/>
          <w:sz w:val="32"/>
          <w:szCs w:val="32"/>
        </w:rPr>
        <w:t>9.公益职能不断彰显。</w:t>
      </w:r>
      <w:r>
        <w:rPr>
          <w:rFonts w:ascii="Times New Roman" w:hAnsi="Times New Roman" w:eastAsia="仿宋" w:cs="Times New Roman"/>
          <w:color w:val="000000"/>
          <w:kern w:val="21"/>
          <w:sz w:val="32"/>
          <w:szCs w:val="32"/>
        </w:rPr>
        <w:t>持续深化帮扶合作，拓展辐射带动面。推进分级诊疗工作，接待双向转诊患者36896人次，同比增长23%，其中转诊高危孕产妇5733人次，两癌筛查转诊1843人次。上线双向转诊信息平台，预约号源463人次，各类检验检查2043人次。新增集团成员单位7家、专科联盟成员单位2家、市内医联体成员单位2家。选派业务骨干开展援疆医疗任务，进一步加强对重庆万州区妇幼保健院、陕西商洛市妇幼保健院、青海西宁市妇幼保健计划生育服务中心等帮扶力度，开展线上培训指导，开通转诊绿色通道，接收短期进修学习。推动溧水分院发展，开设乳腺科、儿科门诊，完成血库及牙片室改造，稳步推进综合病房建设工作，规范孕检项目检查，完成医保项目价格梳理。在全国妇幼保健机构绩效考核中排名位列南京市区级妇幼保健机构第二位。加强院府合作，与栖霞区政府签署战略合作协议，在龙潭社区、栖霞社区与迈皋桥社区开设妇科、口腔科专家团队工作室，定期开展坐诊、义诊、查房、讲座等多种形式技术指导。按照“首诊在基层，大病到医院，康复回社区”原则，开展双向转诊工作，改输血为造血，通过灵活多样的进修培训，为基层免费培养医务人员。积极主动融入社区家庭医生团队，让人民群众在家门口就能享受到优质医疗资源。</w:t>
      </w:r>
    </w:p>
    <w:p w14:paraId="228E9097">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四、存在问题及原因分析</w:t>
      </w:r>
    </w:p>
    <w:p w14:paraId="397B5E5F">
      <w:pPr>
        <w:widowControl/>
        <w:spacing w:line="56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1.部门预算执行度有待进一步提高；</w:t>
      </w:r>
    </w:p>
    <w:p w14:paraId="45B9E755">
      <w:pPr>
        <w:widowControl/>
        <w:spacing w:line="56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2.绩效目标自评价存在片面性；</w:t>
      </w:r>
    </w:p>
    <w:p w14:paraId="7B8BE014">
      <w:pPr>
        <w:widowControl/>
        <w:spacing w:line="56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3.部门绩效自评价工作认识不足，绩效目标还需进一步提高；</w:t>
      </w:r>
    </w:p>
    <w:p w14:paraId="7B17EE30">
      <w:pPr>
        <w:widowControl/>
        <w:spacing w:line="56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4.医院内控会议召开次数不足，需要进一步加强。</w:t>
      </w:r>
    </w:p>
    <w:p w14:paraId="5ADE5F91">
      <w:pPr>
        <w:spacing w:line="56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五、有关建议</w:t>
      </w:r>
    </w:p>
    <w:p w14:paraId="57950D14">
      <w:pPr>
        <w:widowControl/>
        <w:spacing w:line="56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1.提高自评价意识，加大绩效评价对于医院工作重要性的宣传；</w:t>
      </w:r>
    </w:p>
    <w:p w14:paraId="704B17FA">
      <w:pPr>
        <w:widowControl/>
        <w:spacing w:line="56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2.督促相关部门进一步提高预算执行度，制定相关绩效考核措施；</w:t>
      </w:r>
    </w:p>
    <w:p w14:paraId="29BC28D1">
      <w:pPr>
        <w:widowControl/>
        <w:spacing w:line="56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3.加大内控力度，保证医院经济运行安全、高效。</w:t>
      </w:r>
    </w:p>
    <w:p w14:paraId="2807AFC7">
      <w:pPr>
        <w:spacing w:line="560" w:lineRule="exact"/>
        <w:ind w:firstLine="640" w:firstLineChars="200"/>
        <w:rPr>
          <w:rFonts w:ascii="仿宋_GB2312" w:eastAsia="仿宋_GB2312"/>
          <w:sz w:val="32"/>
          <w:szCs w:val="32"/>
        </w:rPr>
      </w:pPr>
      <w:r>
        <w:rPr>
          <w:rFonts w:hint="eastAsia" w:ascii="黑体" w:hAnsi="黑体" w:eastAsia="黑体" w:cs="宋体"/>
          <w:color w:val="000000"/>
          <w:kern w:val="0"/>
          <w:sz w:val="32"/>
          <w:szCs w:val="32"/>
        </w:rPr>
        <w:t>六、评价工作开展情况及其他需说明的情况</w:t>
      </w:r>
    </w:p>
    <w:p w14:paraId="1C132FB1">
      <w:pPr>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医院整体绩效自评价工作是一项系统工程，得到了医院相关部门的大力配合，但有些影响因素具有不可控性，希望在绩效考评时予以考虑。</w:t>
      </w:r>
    </w:p>
    <w:p w14:paraId="0AFD4A0E">
      <w:pPr>
        <w:spacing w:line="520" w:lineRule="exact"/>
        <w:ind w:firstLine="640" w:firstLineChars="200"/>
        <w:rPr>
          <w:rFonts w:ascii="仿宋" w:hAnsi="仿宋" w:eastAsia="仿宋" w:cs="仿宋"/>
          <w:color w:val="000000" w:themeColor="text1"/>
          <w:sz w:val="32"/>
          <w:szCs w:val="32"/>
        </w:rPr>
      </w:pPr>
    </w:p>
    <w:p w14:paraId="7B596ADE">
      <w:pPr>
        <w:spacing w:line="520" w:lineRule="exact"/>
        <w:rPr>
          <w:rFonts w:hint="eastAsia"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附件：1.部门整体绩效评价指标体系得分情况（必填）</w:t>
      </w:r>
    </w:p>
    <w:p w14:paraId="19DB045F">
      <w:pPr>
        <w:widowControl/>
        <w:jc w:val="left"/>
        <w:rPr>
          <w:rFonts w:hint="eastAsia"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br w:type="page"/>
      </w:r>
    </w:p>
    <w:p w14:paraId="6789B1C9">
      <w:pPr>
        <w:jc w:val="center"/>
        <w:rPr>
          <w:rFonts w:ascii="方正小标宋简体" w:eastAsia="方正小标宋简体"/>
          <w:sz w:val="36"/>
          <w:szCs w:val="36"/>
        </w:rPr>
      </w:pPr>
      <w:r>
        <w:rPr>
          <w:rFonts w:hint="eastAsia" w:ascii="方正小标宋简体" w:eastAsia="方正小标宋简体"/>
          <w:sz w:val="36"/>
          <w:szCs w:val="36"/>
        </w:rPr>
        <w:t>部门整体绩效评价指标体系得分情况</w:t>
      </w:r>
    </w:p>
    <w:tbl>
      <w:tblPr>
        <w:tblStyle w:val="9"/>
        <w:tblW w:w="6155"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9"/>
        <w:gridCol w:w="1019"/>
        <w:gridCol w:w="1279"/>
        <w:gridCol w:w="2384"/>
        <w:gridCol w:w="1750"/>
        <w:gridCol w:w="703"/>
        <w:gridCol w:w="848"/>
        <w:gridCol w:w="707"/>
        <w:gridCol w:w="852"/>
      </w:tblGrid>
      <w:tr w14:paraId="69FFCF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Align w:val="center"/>
          </w:tcPr>
          <w:p w14:paraId="3792E745">
            <w:pPr>
              <w:jc w:val="center"/>
              <w:rPr>
                <w:rFonts w:ascii="黑体" w:hAnsi="黑体" w:eastAsia="黑体"/>
                <w:sz w:val="24"/>
                <w:szCs w:val="24"/>
              </w:rPr>
            </w:pPr>
            <w:r>
              <w:rPr>
                <w:rFonts w:ascii="黑体" w:hAnsi="黑体" w:eastAsia="黑体"/>
                <w:sz w:val="24"/>
                <w:szCs w:val="24"/>
              </w:rPr>
              <w:t>一级指标</w:t>
            </w:r>
          </w:p>
        </w:tc>
        <w:tc>
          <w:tcPr>
            <w:tcW w:w="485" w:type="pct"/>
            <w:vAlign w:val="center"/>
          </w:tcPr>
          <w:p w14:paraId="7F301FFF">
            <w:pPr>
              <w:jc w:val="center"/>
              <w:rPr>
                <w:rFonts w:ascii="黑体" w:hAnsi="黑体" w:eastAsia="黑体"/>
                <w:sz w:val="24"/>
                <w:szCs w:val="24"/>
              </w:rPr>
            </w:pPr>
            <w:r>
              <w:rPr>
                <w:rFonts w:ascii="黑体" w:hAnsi="黑体" w:eastAsia="黑体"/>
                <w:sz w:val="24"/>
                <w:szCs w:val="24"/>
              </w:rPr>
              <w:t>二级指标</w:t>
            </w:r>
          </w:p>
        </w:tc>
        <w:tc>
          <w:tcPr>
            <w:tcW w:w="609" w:type="pct"/>
            <w:vAlign w:val="center"/>
          </w:tcPr>
          <w:p w14:paraId="16C4317F">
            <w:pPr>
              <w:jc w:val="center"/>
              <w:rPr>
                <w:rFonts w:ascii="黑体" w:hAnsi="黑体" w:eastAsia="黑体"/>
                <w:sz w:val="24"/>
                <w:szCs w:val="24"/>
              </w:rPr>
            </w:pPr>
            <w:r>
              <w:rPr>
                <w:rFonts w:ascii="黑体" w:hAnsi="黑体" w:eastAsia="黑体"/>
                <w:sz w:val="24"/>
                <w:szCs w:val="24"/>
              </w:rPr>
              <w:t>三级指标</w:t>
            </w:r>
          </w:p>
        </w:tc>
        <w:tc>
          <w:tcPr>
            <w:tcW w:w="1135" w:type="pct"/>
            <w:vAlign w:val="center"/>
          </w:tcPr>
          <w:p w14:paraId="06EE95CF">
            <w:pPr>
              <w:jc w:val="center"/>
              <w:rPr>
                <w:rFonts w:ascii="黑体" w:hAnsi="黑体" w:eastAsia="黑体"/>
                <w:sz w:val="24"/>
                <w:szCs w:val="24"/>
              </w:rPr>
            </w:pPr>
            <w:r>
              <w:rPr>
                <w:rFonts w:ascii="黑体" w:hAnsi="黑体" w:eastAsia="黑体"/>
                <w:sz w:val="24"/>
                <w:szCs w:val="24"/>
              </w:rPr>
              <w:t>指标</w:t>
            </w:r>
            <w:r>
              <w:rPr>
                <w:rFonts w:hint="eastAsia" w:ascii="黑体" w:hAnsi="黑体" w:eastAsia="黑体"/>
                <w:sz w:val="24"/>
                <w:szCs w:val="24"/>
              </w:rPr>
              <w:t>解释</w:t>
            </w:r>
          </w:p>
        </w:tc>
        <w:tc>
          <w:tcPr>
            <w:tcW w:w="833" w:type="pct"/>
            <w:vAlign w:val="center"/>
          </w:tcPr>
          <w:p w14:paraId="2F01680D">
            <w:pPr>
              <w:jc w:val="center"/>
              <w:rPr>
                <w:rFonts w:ascii="黑体" w:hAnsi="黑体" w:eastAsia="黑体"/>
                <w:sz w:val="24"/>
                <w:szCs w:val="24"/>
              </w:rPr>
            </w:pPr>
            <w:r>
              <w:rPr>
                <w:rFonts w:hint="eastAsia" w:ascii="黑体" w:hAnsi="黑体" w:eastAsia="黑体"/>
                <w:sz w:val="24"/>
                <w:szCs w:val="24"/>
              </w:rPr>
              <w:t>评分标准</w:t>
            </w:r>
          </w:p>
        </w:tc>
        <w:tc>
          <w:tcPr>
            <w:tcW w:w="335" w:type="pct"/>
            <w:vAlign w:val="center"/>
          </w:tcPr>
          <w:p w14:paraId="79FBC213">
            <w:pPr>
              <w:jc w:val="center"/>
              <w:rPr>
                <w:rFonts w:ascii="黑体" w:hAnsi="黑体" w:eastAsia="黑体"/>
                <w:sz w:val="24"/>
                <w:szCs w:val="24"/>
              </w:rPr>
            </w:pPr>
            <w:r>
              <w:rPr>
                <w:rFonts w:hint="eastAsia" w:ascii="黑体" w:hAnsi="黑体" w:eastAsia="黑体"/>
                <w:sz w:val="24"/>
                <w:szCs w:val="24"/>
              </w:rPr>
              <w:t>指标目标值</w:t>
            </w:r>
          </w:p>
        </w:tc>
        <w:tc>
          <w:tcPr>
            <w:tcW w:w="404" w:type="pct"/>
            <w:vAlign w:val="center"/>
          </w:tcPr>
          <w:p w14:paraId="540A15AD">
            <w:pPr>
              <w:jc w:val="center"/>
              <w:rPr>
                <w:rFonts w:ascii="黑体" w:hAnsi="黑体" w:eastAsia="黑体"/>
                <w:sz w:val="24"/>
                <w:szCs w:val="24"/>
              </w:rPr>
            </w:pPr>
            <w:r>
              <w:rPr>
                <w:rFonts w:hint="eastAsia" w:ascii="黑体" w:hAnsi="黑体" w:eastAsia="黑体"/>
                <w:sz w:val="24"/>
                <w:szCs w:val="24"/>
              </w:rPr>
              <w:t>全年实际完成值</w:t>
            </w:r>
          </w:p>
        </w:tc>
        <w:tc>
          <w:tcPr>
            <w:tcW w:w="337" w:type="pct"/>
            <w:vAlign w:val="center"/>
          </w:tcPr>
          <w:p w14:paraId="78A4B1B6">
            <w:pPr>
              <w:jc w:val="center"/>
              <w:rPr>
                <w:rFonts w:ascii="黑体" w:hAnsi="黑体" w:eastAsia="黑体"/>
                <w:sz w:val="24"/>
                <w:szCs w:val="24"/>
              </w:rPr>
            </w:pPr>
            <w:r>
              <w:rPr>
                <w:rFonts w:hint="eastAsia" w:ascii="黑体" w:hAnsi="黑体" w:eastAsia="黑体"/>
                <w:sz w:val="24"/>
                <w:szCs w:val="24"/>
              </w:rPr>
              <w:t>指标分值</w:t>
            </w:r>
          </w:p>
        </w:tc>
        <w:tc>
          <w:tcPr>
            <w:tcW w:w="406" w:type="pct"/>
            <w:vAlign w:val="center"/>
          </w:tcPr>
          <w:p w14:paraId="346F62E3">
            <w:pPr>
              <w:jc w:val="center"/>
              <w:rPr>
                <w:rFonts w:ascii="黑体" w:hAnsi="黑体" w:eastAsia="黑体"/>
                <w:sz w:val="24"/>
                <w:szCs w:val="24"/>
              </w:rPr>
            </w:pPr>
            <w:r>
              <w:rPr>
                <w:rFonts w:hint="eastAsia" w:ascii="黑体" w:hAnsi="黑体" w:eastAsia="黑体"/>
                <w:sz w:val="24"/>
                <w:szCs w:val="24"/>
              </w:rPr>
              <w:t>实际得分</w:t>
            </w:r>
          </w:p>
        </w:tc>
      </w:tr>
      <w:tr w14:paraId="1BF200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452" w:type="pct"/>
            <w:vMerge w:val="restart"/>
            <w:vAlign w:val="center"/>
          </w:tcPr>
          <w:p w14:paraId="15DA6182">
            <w:pPr>
              <w:jc w:val="center"/>
            </w:pPr>
            <w:r>
              <w:rPr>
                <w:rFonts w:hint="eastAsia"/>
              </w:rPr>
              <w:t>部门决策</w:t>
            </w:r>
          </w:p>
          <w:p w14:paraId="0FC0E21D">
            <w:pPr>
              <w:jc w:val="center"/>
            </w:pPr>
            <w:r>
              <w:rPr>
                <w:rFonts w:hint="eastAsia"/>
              </w:rPr>
              <w:t>（15分）</w:t>
            </w:r>
          </w:p>
        </w:tc>
        <w:tc>
          <w:tcPr>
            <w:tcW w:w="485" w:type="pct"/>
            <w:vMerge w:val="restart"/>
            <w:vAlign w:val="center"/>
          </w:tcPr>
          <w:p w14:paraId="33EF738C">
            <w:pPr>
              <w:jc w:val="center"/>
            </w:pPr>
            <w:r>
              <w:rPr>
                <w:rFonts w:hint="eastAsia"/>
              </w:rPr>
              <w:t>决策机制</w:t>
            </w:r>
          </w:p>
        </w:tc>
        <w:tc>
          <w:tcPr>
            <w:tcW w:w="609" w:type="pct"/>
            <w:vAlign w:val="center"/>
          </w:tcPr>
          <w:p w14:paraId="3D3F99DA">
            <w:pPr>
              <w:jc w:val="center"/>
            </w:pPr>
            <w:r>
              <w:rPr>
                <w:rFonts w:hint="eastAsia"/>
              </w:rPr>
              <w:t>决策制度的科学性</w:t>
            </w:r>
          </w:p>
        </w:tc>
        <w:tc>
          <w:tcPr>
            <w:tcW w:w="1135" w:type="pct"/>
            <w:vAlign w:val="center"/>
          </w:tcPr>
          <w:p w14:paraId="38560495">
            <w:r>
              <w:rPr>
                <w:rFonts w:hint="eastAsia"/>
              </w:rPr>
              <w:t>部门是否建立了决策制度，决策制度是否符合上级要求，是否科学可行。</w:t>
            </w:r>
          </w:p>
        </w:tc>
        <w:tc>
          <w:tcPr>
            <w:tcW w:w="833" w:type="pct"/>
            <w:vAlign w:val="center"/>
          </w:tcPr>
          <w:p w14:paraId="47F26CFC">
            <w:r>
              <w:rPr>
                <w:rFonts w:hint="eastAsia"/>
              </w:rPr>
              <w:t>相关法律法规及医院内部管理制度</w:t>
            </w:r>
          </w:p>
        </w:tc>
        <w:tc>
          <w:tcPr>
            <w:tcW w:w="335" w:type="pct"/>
            <w:vAlign w:val="center"/>
          </w:tcPr>
          <w:p w14:paraId="43688783">
            <w:r>
              <w:rPr>
                <w:rFonts w:hint="eastAsia"/>
              </w:rPr>
              <w:t>建立</w:t>
            </w:r>
          </w:p>
        </w:tc>
        <w:tc>
          <w:tcPr>
            <w:tcW w:w="404" w:type="pct"/>
            <w:vAlign w:val="center"/>
          </w:tcPr>
          <w:p w14:paraId="636ECC71">
            <w:r>
              <w:rPr>
                <w:rFonts w:hint="eastAsia"/>
              </w:rPr>
              <w:t>建立</w:t>
            </w:r>
          </w:p>
        </w:tc>
        <w:tc>
          <w:tcPr>
            <w:tcW w:w="337" w:type="pct"/>
            <w:vAlign w:val="center"/>
          </w:tcPr>
          <w:p w14:paraId="5242E6E9">
            <w:r>
              <w:rPr>
                <w:rFonts w:hint="eastAsia"/>
              </w:rPr>
              <w:t>3</w:t>
            </w:r>
          </w:p>
        </w:tc>
        <w:tc>
          <w:tcPr>
            <w:tcW w:w="406" w:type="pct"/>
            <w:vAlign w:val="center"/>
          </w:tcPr>
          <w:p w14:paraId="31753238">
            <w:r>
              <w:rPr>
                <w:rFonts w:hint="eastAsia"/>
              </w:rPr>
              <w:t>3</w:t>
            </w:r>
          </w:p>
        </w:tc>
      </w:tr>
      <w:tr w14:paraId="3423E9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388044D8">
            <w:pPr>
              <w:jc w:val="center"/>
            </w:pPr>
          </w:p>
        </w:tc>
        <w:tc>
          <w:tcPr>
            <w:tcW w:w="485" w:type="pct"/>
            <w:vMerge w:val="continue"/>
            <w:vAlign w:val="center"/>
          </w:tcPr>
          <w:p w14:paraId="475AD4DE">
            <w:pPr>
              <w:jc w:val="center"/>
            </w:pPr>
          </w:p>
        </w:tc>
        <w:tc>
          <w:tcPr>
            <w:tcW w:w="609" w:type="pct"/>
            <w:vAlign w:val="center"/>
          </w:tcPr>
          <w:p w14:paraId="593F6BD7">
            <w:pPr>
              <w:jc w:val="center"/>
            </w:pPr>
            <w:r>
              <w:rPr>
                <w:rFonts w:hint="eastAsia"/>
              </w:rPr>
              <w:t>决策流程的规范性</w:t>
            </w:r>
          </w:p>
        </w:tc>
        <w:tc>
          <w:tcPr>
            <w:tcW w:w="1135" w:type="pct"/>
            <w:vAlign w:val="center"/>
          </w:tcPr>
          <w:p w14:paraId="3D1CB87B">
            <w:r>
              <w:rPr>
                <w:rFonts w:hint="eastAsia"/>
              </w:rPr>
              <w:t>决策流程设计是否依据充分，是否规范。</w:t>
            </w:r>
          </w:p>
        </w:tc>
        <w:tc>
          <w:tcPr>
            <w:tcW w:w="833" w:type="pct"/>
            <w:vAlign w:val="center"/>
          </w:tcPr>
          <w:p w14:paraId="6F066410">
            <w:r>
              <w:rPr>
                <w:rFonts w:hint="eastAsia"/>
              </w:rPr>
              <w:t>相关医院内部管理制度</w:t>
            </w:r>
          </w:p>
        </w:tc>
        <w:tc>
          <w:tcPr>
            <w:tcW w:w="335" w:type="pct"/>
            <w:vAlign w:val="center"/>
          </w:tcPr>
          <w:p w14:paraId="621833E1">
            <w:r>
              <w:rPr>
                <w:rFonts w:hint="eastAsia"/>
              </w:rPr>
              <w:t>充分</w:t>
            </w:r>
          </w:p>
          <w:p w14:paraId="15501F27">
            <w:r>
              <w:rPr>
                <w:rFonts w:hint="eastAsia"/>
              </w:rPr>
              <w:t>规范</w:t>
            </w:r>
          </w:p>
        </w:tc>
        <w:tc>
          <w:tcPr>
            <w:tcW w:w="404" w:type="pct"/>
            <w:vAlign w:val="center"/>
          </w:tcPr>
          <w:p w14:paraId="65BAF8E6">
            <w:r>
              <w:rPr>
                <w:rFonts w:hint="eastAsia"/>
              </w:rPr>
              <w:t>充分</w:t>
            </w:r>
          </w:p>
          <w:p w14:paraId="42BF4594">
            <w:r>
              <w:rPr>
                <w:rFonts w:hint="eastAsia"/>
              </w:rPr>
              <w:t>规范</w:t>
            </w:r>
          </w:p>
        </w:tc>
        <w:tc>
          <w:tcPr>
            <w:tcW w:w="337" w:type="pct"/>
            <w:vAlign w:val="center"/>
          </w:tcPr>
          <w:p w14:paraId="45C4B6D4">
            <w:r>
              <w:rPr>
                <w:rFonts w:hint="eastAsia"/>
              </w:rPr>
              <w:t>2</w:t>
            </w:r>
          </w:p>
        </w:tc>
        <w:tc>
          <w:tcPr>
            <w:tcW w:w="406" w:type="pct"/>
            <w:vAlign w:val="center"/>
          </w:tcPr>
          <w:p w14:paraId="6D9EF115">
            <w:r>
              <w:rPr>
                <w:rFonts w:hint="eastAsia"/>
              </w:rPr>
              <w:t>2</w:t>
            </w:r>
          </w:p>
        </w:tc>
      </w:tr>
      <w:tr w14:paraId="719519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76BCD215">
            <w:pPr>
              <w:jc w:val="center"/>
            </w:pPr>
          </w:p>
        </w:tc>
        <w:tc>
          <w:tcPr>
            <w:tcW w:w="485" w:type="pct"/>
            <w:vMerge w:val="continue"/>
            <w:vAlign w:val="center"/>
          </w:tcPr>
          <w:p w14:paraId="5C67A497">
            <w:pPr>
              <w:jc w:val="center"/>
            </w:pPr>
          </w:p>
        </w:tc>
        <w:tc>
          <w:tcPr>
            <w:tcW w:w="609" w:type="pct"/>
            <w:vAlign w:val="center"/>
          </w:tcPr>
          <w:p w14:paraId="2207822E">
            <w:pPr>
              <w:jc w:val="center"/>
            </w:pPr>
            <w:r>
              <w:rPr>
                <w:rFonts w:hint="eastAsia"/>
              </w:rPr>
              <w:t>决策执行监督制衡机制</w:t>
            </w:r>
          </w:p>
        </w:tc>
        <w:tc>
          <w:tcPr>
            <w:tcW w:w="1135" w:type="pct"/>
            <w:vAlign w:val="center"/>
          </w:tcPr>
          <w:p w14:paraId="749D199A">
            <w:r>
              <w:rPr>
                <w:rFonts w:hint="eastAsia"/>
              </w:rPr>
              <w:t>部门决策过程中，是否建立监督机制，监督机制是否有效执行。</w:t>
            </w:r>
          </w:p>
        </w:tc>
        <w:tc>
          <w:tcPr>
            <w:tcW w:w="833" w:type="pct"/>
            <w:vAlign w:val="center"/>
          </w:tcPr>
          <w:p w14:paraId="3AFB3605">
            <w:r>
              <w:rPr>
                <w:rFonts w:hint="eastAsia"/>
              </w:rPr>
              <w:t>相关医院内控管理制度</w:t>
            </w:r>
          </w:p>
        </w:tc>
        <w:tc>
          <w:tcPr>
            <w:tcW w:w="335" w:type="pct"/>
            <w:vAlign w:val="center"/>
          </w:tcPr>
          <w:p w14:paraId="1CD030D2">
            <w:r>
              <w:rPr>
                <w:rFonts w:hint="eastAsia"/>
              </w:rPr>
              <w:t>建立</w:t>
            </w:r>
          </w:p>
          <w:p w14:paraId="0CB26DB0">
            <w:r>
              <w:rPr>
                <w:rFonts w:hint="eastAsia"/>
              </w:rPr>
              <w:t>有效</w:t>
            </w:r>
          </w:p>
        </w:tc>
        <w:tc>
          <w:tcPr>
            <w:tcW w:w="404" w:type="pct"/>
            <w:vAlign w:val="center"/>
          </w:tcPr>
          <w:p w14:paraId="0D100F0F">
            <w:r>
              <w:rPr>
                <w:rFonts w:hint="eastAsia"/>
              </w:rPr>
              <w:t>建立</w:t>
            </w:r>
          </w:p>
          <w:p w14:paraId="14C49BBA">
            <w:r>
              <w:rPr>
                <w:rFonts w:hint="eastAsia"/>
              </w:rPr>
              <w:t>有效</w:t>
            </w:r>
          </w:p>
        </w:tc>
        <w:tc>
          <w:tcPr>
            <w:tcW w:w="337" w:type="pct"/>
            <w:vAlign w:val="center"/>
          </w:tcPr>
          <w:p w14:paraId="08105696">
            <w:r>
              <w:rPr>
                <w:rFonts w:hint="eastAsia"/>
              </w:rPr>
              <w:t>2</w:t>
            </w:r>
          </w:p>
        </w:tc>
        <w:tc>
          <w:tcPr>
            <w:tcW w:w="406" w:type="pct"/>
            <w:vAlign w:val="center"/>
          </w:tcPr>
          <w:p w14:paraId="00A8B2A2">
            <w:r>
              <w:rPr>
                <w:rFonts w:hint="eastAsia"/>
              </w:rPr>
              <w:t>2</w:t>
            </w:r>
          </w:p>
        </w:tc>
      </w:tr>
      <w:tr w14:paraId="013965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5F2E8AC0">
            <w:pPr>
              <w:jc w:val="center"/>
            </w:pPr>
          </w:p>
        </w:tc>
        <w:tc>
          <w:tcPr>
            <w:tcW w:w="485" w:type="pct"/>
            <w:vMerge w:val="restart"/>
            <w:vAlign w:val="center"/>
          </w:tcPr>
          <w:p w14:paraId="2EE45915">
            <w:pPr>
              <w:jc w:val="center"/>
            </w:pPr>
            <w:r>
              <w:rPr>
                <w:rFonts w:hint="eastAsia"/>
              </w:rPr>
              <w:t>中长期规划</w:t>
            </w:r>
          </w:p>
        </w:tc>
        <w:tc>
          <w:tcPr>
            <w:tcW w:w="609" w:type="pct"/>
            <w:vAlign w:val="center"/>
          </w:tcPr>
          <w:p w14:paraId="52E4754B">
            <w:pPr>
              <w:jc w:val="center"/>
            </w:pPr>
            <w:r>
              <w:rPr>
                <w:rFonts w:hint="eastAsia"/>
              </w:rPr>
              <w:t>中长期规划明确性</w:t>
            </w:r>
          </w:p>
        </w:tc>
        <w:tc>
          <w:tcPr>
            <w:tcW w:w="1135" w:type="pct"/>
            <w:vAlign w:val="center"/>
          </w:tcPr>
          <w:p w14:paraId="2CEAD901">
            <w:r>
              <w:rPr>
                <w:rFonts w:hint="eastAsia"/>
              </w:rPr>
              <w:t>部门是否具有明确的中长期规划。</w:t>
            </w:r>
          </w:p>
        </w:tc>
        <w:tc>
          <w:tcPr>
            <w:tcW w:w="833" w:type="pct"/>
            <w:vAlign w:val="center"/>
          </w:tcPr>
          <w:p w14:paraId="4FAEA1FC">
            <w:r>
              <w:rPr>
                <w:rFonts w:hint="eastAsia"/>
              </w:rPr>
              <w:t>医院“十四五”规划</w:t>
            </w:r>
          </w:p>
        </w:tc>
        <w:tc>
          <w:tcPr>
            <w:tcW w:w="335" w:type="pct"/>
            <w:vAlign w:val="center"/>
          </w:tcPr>
          <w:p w14:paraId="2B2871D0">
            <w:r>
              <w:rPr>
                <w:rFonts w:hint="eastAsia"/>
              </w:rPr>
              <w:t>具有</w:t>
            </w:r>
          </w:p>
        </w:tc>
        <w:tc>
          <w:tcPr>
            <w:tcW w:w="404" w:type="pct"/>
            <w:vAlign w:val="center"/>
          </w:tcPr>
          <w:p w14:paraId="0A527F5B">
            <w:r>
              <w:rPr>
                <w:rFonts w:hint="eastAsia"/>
              </w:rPr>
              <w:t>具有</w:t>
            </w:r>
          </w:p>
        </w:tc>
        <w:tc>
          <w:tcPr>
            <w:tcW w:w="337" w:type="pct"/>
            <w:vAlign w:val="center"/>
          </w:tcPr>
          <w:p w14:paraId="4FE40A3E">
            <w:r>
              <w:rPr>
                <w:rFonts w:hint="eastAsia"/>
              </w:rPr>
              <w:t>2</w:t>
            </w:r>
          </w:p>
        </w:tc>
        <w:tc>
          <w:tcPr>
            <w:tcW w:w="406" w:type="pct"/>
            <w:vAlign w:val="center"/>
          </w:tcPr>
          <w:p w14:paraId="756DF9B1">
            <w:r>
              <w:rPr>
                <w:rFonts w:hint="eastAsia"/>
              </w:rPr>
              <w:t>2</w:t>
            </w:r>
          </w:p>
        </w:tc>
      </w:tr>
      <w:tr w14:paraId="0FEEC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0" w:hRule="atLeast"/>
          <w:jc w:val="center"/>
        </w:trPr>
        <w:tc>
          <w:tcPr>
            <w:tcW w:w="452" w:type="pct"/>
            <w:vMerge w:val="continue"/>
            <w:vAlign w:val="center"/>
          </w:tcPr>
          <w:p w14:paraId="5719D337">
            <w:pPr>
              <w:jc w:val="center"/>
            </w:pPr>
          </w:p>
        </w:tc>
        <w:tc>
          <w:tcPr>
            <w:tcW w:w="485" w:type="pct"/>
            <w:vMerge w:val="continue"/>
            <w:vAlign w:val="center"/>
          </w:tcPr>
          <w:p w14:paraId="1BAE8EF1">
            <w:pPr>
              <w:jc w:val="center"/>
            </w:pPr>
          </w:p>
        </w:tc>
        <w:tc>
          <w:tcPr>
            <w:tcW w:w="609" w:type="pct"/>
            <w:vAlign w:val="center"/>
          </w:tcPr>
          <w:p w14:paraId="500E6326">
            <w:pPr>
              <w:jc w:val="center"/>
            </w:pPr>
            <w:r>
              <w:rPr>
                <w:rFonts w:hint="eastAsia"/>
              </w:rPr>
              <w:t>中长期规划与部门职能的匹配性</w:t>
            </w:r>
          </w:p>
        </w:tc>
        <w:tc>
          <w:tcPr>
            <w:tcW w:w="1135" w:type="pct"/>
            <w:vAlign w:val="center"/>
          </w:tcPr>
          <w:p w14:paraId="143ADA12">
            <w:r>
              <w:rPr>
                <w:rFonts w:hint="eastAsia"/>
              </w:rPr>
              <w:t>部门中长期规划是否与部门职能相匹配。</w:t>
            </w:r>
          </w:p>
        </w:tc>
        <w:tc>
          <w:tcPr>
            <w:tcW w:w="833" w:type="pct"/>
            <w:vAlign w:val="center"/>
          </w:tcPr>
          <w:p w14:paraId="59EF0F79">
            <w:r>
              <w:rPr>
                <w:rFonts w:hint="eastAsia"/>
              </w:rPr>
              <w:t>医院“十四五”规划；部门工作制度</w:t>
            </w:r>
          </w:p>
        </w:tc>
        <w:tc>
          <w:tcPr>
            <w:tcW w:w="335" w:type="pct"/>
            <w:vAlign w:val="center"/>
          </w:tcPr>
          <w:p w14:paraId="2CE74791">
            <w:r>
              <w:rPr>
                <w:rFonts w:hint="eastAsia"/>
              </w:rPr>
              <w:t>匹配</w:t>
            </w:r>
          </w:p>
        </w:tc>
        <w:tc>
          <w:tcPr>
            <w:tcW w:w="404" w:type="pct"/>
            <w:vAlign w:val="center"/>
          </w:tcPr>
          <w:p w14:paraId="20F1029C">
            <w:r>
              <w:rPr>
                <w:rFonts w:hint="eastAsia"/>
              </w:rPr>
              <w:t>匹配</w:t>
            </w:r>
          </w:p>
        </w:tc>
        <w:tc>
          <w:tcPr>
            <w:tcW w:w="337" w:type="pct"/>
            <w:vAlign w:val="center"/>
          </w:tcPr>
          <w:p w14:paraId="27A6D2C6">
            <w:r>
              <w:rPr>
                <w:rFonts w:hint="eastAsia"/>
              </w:rPr>
              <w:t>2</w:t>
            </w:r>
          </w:p>
        </w:tc>
        <w:tc>
          <w:tcPr>
            <w:tcW w:w="406" w:type="pct"/>
            <w:vAlign w:val="center"/>
          </w:tcPr>
          <w:p w14:paraId="0269400E">
            <w:r>
              <w:rPr>
                <w:rFonts w:hint="eastAsia"/>
              </w:rPr>
              <w:t>2</w:t>
            </w:r>
          </w:p>
        </w:tc>
      </w:tr>
      <w:tr w14:paraId="6BE3F7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jc w:val="center"/>
        </w:trPr>
        <w:tc>
          <w:tcPr>
            <w:tcW w:w="452" w:type="pct"/>
            <w:vMerge w:val="continue"/>
            <w:vAlign w:val="center"/>
          </w:tcPr>
          <w:p w14:paraId="279A46BD">
            <w:pPr>
              <w:jc w:val="center"/>
            </w:pPr>
          </w:p>
        </w:tc>
        <w:tc>
          <w:tcPr>
            <w:tcW w:w="485" w:type="pct"/>
            <w:vMerge w:val="restart"/>
            <w:vAlign w:val="center"/>
          </w:tcPr>
          <w:p w14:paraId="2904490B">
            <w:pPr>
              <w:jc w:val="center"/>
            </w:pPr>
            <w:r>
              <w:rPr>
                <w:rFonts w:hint="eastAsia"/>
              </w:rPr>
              <w:t>年度工作计划</w:t>
            </w:r>
          </w:p>
        </w:tc>
        <w:tc>
          <w:tcPr>
            <w:tcW w:w="609" w:type="pct"/>
            <w:vAlign w:val="center"/>
          </w:tcPr>
          <w:p w14:paraId="4F70420A">
            <w:pPr>
              <w:jc w:val="center"/>
            </w:pPr>
            <w:r>
              <w:rPr>
                <w:rFonts w:hint="eastAsia"/>
              </w:rPr>
              <w:t>年度工作计划明确性</w:t>
            </w:r>
          </w:p>
        </w:tc>
        <w:tc>
          <w:tcPr>
            <w:tcW w:w="1135" w:type="pct"/>
            <w:vAlign w:val="center"/>
          </w:tcPr>
          <w:p w14:paraId="41D64551">
            <w:r>
              <w:rPr>
                <w:rFonts w:hint="eastAsia"/>
              </w:rPr>
              <w:t>部门是否具有明确的年度工作计划。</w:t>
            </w:r>
          </w:p>
        </w:tc>
        <w:tc>
          <w:tcPr>
            <w:tcW w:w="833" w:type="pct"/>
            <w:vAlign w:val="center"/>
          </w:tcPr>
          <w:p w14:paraId="665B06A6">
            <w:r>
              <w:rPr>
                <w:rFonts w:hint="eastAsia"/>
              </w:rPr>
              <w:t>医院年度工作计划；部门工作计划</w:t>
            </w:r>
          </w:p>
        </w:tc>
        <w:tc>
          <w:tcPr>
            <w:tcW w:w="335" w:type="pct"/>
            <w:vAlign w:val="center"/>
          </w:tcPr>
          <w:p w14:paraId="757DDF2B">
            <w:r>
              <w:rPr>
                <w:rFonts w:hint="eastAsia"/>
              </w:rPr>
              <w:t>具有</w:t>
            </w:r>
          </w:p>
        </w:tc>
        <w:tc>
          <w:tcPr>
            <w:tcW w:w="404" w:type="pct"/>
            <w:vAlign w:val="center"/>
          </w:tcPr>
          <w:p w14:paraId="2CC02C8F">
            <w:r>
              <w:rPr>
                <w:rFonts w:hint="eastAsia"/>
              </w:rPr>
              <w:t>具有</w:t>
            </w:r>
          </w:p>
        </w:tc>
        <w:tc>
          <w:tcPr>
            <w:tcW w:w="337" w:type="pct"/>
            <w:vAlign w:val="center"/>
          </w:tcPr>
          <w:p w14:paraId="2B0434FA">
            <w:r>
              <w:rPr>
                <w:rFonts w:hint="eastAsia"/>
              </w:rPr>
              <w:t>1</w:t>
            </w:r>
          </w:p>
        </w:tc>
        <w:tc>
          <w:tcPr>
            <w:tcW w:w="406" w:type="pct"/>
            <w:vAlign w:val="center"/>
          </w:tcPr>
          <w:p w14:paraId="77029F5A">
            <w:r>
              <w:rPr>
                <w:rFonts w:hint="eastAsia"/>
              </w:rPr>
              <w:t>1</w:t>
            </w:r>
          </w:p>
        </w:tc>
      </w:tr>
      <w:tr w14:paraId="7CB654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3546DA62">
            <w:pPr>
              <w:jc w:val="center"/>
            </w:pPr>
          </w:p>
        </w:tc>
        <w:tc>
          <w:tcPr>
            <w:tcW w:w="485" w:type="pct"/>
            <w:vMerge w:val="continue"/>
            <w:vAlign w:val="center"/>
          </w:tcPr>
          <w:p w14:paraId="6D9999EC">
            <w:pPr>
              <w:jc w:val="center"/>
            </w:pPr>
          </w:p>
        </w:tc>
        <w:tc>
          <w:tcPr>
            <w:tcW w:w="609" w:type="pct"/>
            <w:vAlign w:val="center"/>
          </w:tcPr>
          <w:p w14:paraId="54DC45CF">
            <w:pPr>
              <w:jc w:val="center"/>
            </w:pPr>
            <w:r>
              <w:rPr>
                <w:rFonts w:hint="eastAsia"/>
              </w:rPr>
              <w:t>年度工作计划与部门职能的匹配性</w:t>
            </w:r>
          </w:p>
        </w:tc>
        <w:tc>
          <w:tcPr>
            <w:tcW w:w="1135" w:type="pct"/>
            <w:vAlign w:val="center"/>
          </w:tcPr>
          <w:p w14:paraId="2875E6DC">
            <w:r>
              <w:rPr>
                <w:rFonts w:hint="eastAsia"/>
              </w:rPr>
              <w:t>年度工作计划是否与部门职能相匹配。</w:t>
            </w:r>
          </w:p>
        </w:tc>
        <w:tc>
          <w:tcPr>
            <w:tcW w:w="833" w:type="pct"/>
            <w:vAlign w:val="center"/>
          </w:tcPr>
          <w:p w14:paraId="70B379A1">
            <w:r>
              <w:rPr>
                <w:rFonts w:hint="eastAsia"/>
              </w:rPr>
              <w:t>部门工作计划；部门工作制度</w:t>
            </w:r>
          </w:p>
        </w:tc>
        <w:tc>
          <w:tcPr>
            <w:tcW w:w="335" w:type="pct"/>
            <w:vAlign w:val="center"/>
          </w:tcPr>
          <w:p w14:paraId="4DF26F42">
            <w:r>
              <w:rPr>
                <w:rFonts w:hint="eastAsia"/>
              </w:rPr>
              <w:t>匹配</w:t>
            </w:r>
          </w:p>
        </w:tc>
        <w:tc>
          <w:tcPr>
            <w:tcW w:w="404" w:type="pct"/>
            <w:vAlign w:val="center"/>
          </w:tcPr>
          <w:p w14:paraId="669FC4DE">
            <w:r>
              <w:rPr>
                <w:rFonts w:hint="eastAsia"/>
              </w:rPr>
              <w:t>匹配</w:t>
            </w:r>
          </w:p>
        </w:tc>
        <w:tc>
          <w:tcPr>
            <w:tcW w:w="337" w:type="pct"/>
            <w:vAlign w:val="center"/>
          </w:tcPr>
          <w:p w14:paraId="53E12307">
            <w:r>
              <w:rPr>
                <w:rFonts w:hint="eastAsia"/>
              </w:rPr>
              <w:t>1</w:t>
            </w:r>
          </w:p>
        </w:tc>
        <w:tc>
          <w:tcPr>
            <w:tcW w:w="406" w:type="pct"/>
            <w:vAlign w:val="center"/>
          </w:tcPr>
          <w:p w14:paraId="5F261CA5">
            <w:r>
              <w:rPr>
                <w:rFonts w:hint="eastAsia"/>
              </w:rPr>
              <w:t>1</w:t>
            </w:r>
          </w:p>
        </w:tc>
      </w:tr>
      <w:tr w14:paraId="6F5C99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5ADD25F2">
            <w:pPr>
              <w:jc w:val="center"/>
            </w:pPr>
          </w:p>
        </w:tc>
        <w:tc>
          <w:tcPr>
            <w:tcW w:w="485" w:type="pct"/>
            <w:vMerge w:val="restart"/>
            <w:vAlign w:val="center"/>
          </w:tcPr>
          <w:p w14:paraId="5AA9ABEA">
            <w:pPr>
              <w:jc w:val="center"/>
            </w:pPr>
            <w:r>
              <w:rPr>
                <w:rFonts w:hint="eastAsia"/>
              </w:rPr>
              <w:t>部门预算编制</w:t>
            </w:r>
          </w:p>
        </w:tc>
        <w:tc>
          <w:tcPr>
            <w:tcW w:w="609" w:type="pct"/>
            <w:vAlign w:val="center"/>
          </w:tcPr>
          <w:p w14:paraId="104BBD04">
            <w:pPr>
              <w:jc w:val="center"/>
            </w:pPr>
            <w:r>
              <w:rPr>
                <w:rFonts w:hint="eastAsia"/>
              </w:rPr>
              <w:t>预算编制科学规范</w:t>
            </w:r>
          </w:p>
        </w:tc>
        <w:tc>
          <w:tcPr>
            <w:tcW w:w="1135" w:type="pct"/>
            <w:vAlign w:val="center"/>
          </w:tcPr>
          <w:p w14:paraId="3F6D541D">
            <w:r>
              <w:rPr>
                <w:rFonts w:hint="eastAsia"/>
              </w:rPr>
              <w:t>内部预算编制是否有相应的制度保障，流程设计是否科学规范，执行是否有效。</w:t>
            </w:r>
          </w:p>
        </w:tc>
        <w:tc>
          <w:tcPr>
            <w:tcW w:w="833" w:type="pct"/>
            <w:vAlign w:val="center"/>
          </w:tcPr>
          <w:p w14:paraId="1827A9F3">
            <w:r>
              <w:rPr>
                <w:rFonts w:hint="eastAsia"/>
              </w:rPr>
              <w:t>医院全面预算管理制度</w:t>
            </w:r>
          </w:p>
        </w:tc>
        <w:tc>
          <w:tcPr>
            <w:tcW w:w="335" w:type="pct"/>
            <w:vAlign w:val="center"/>
          </w:tcPr>
          <w:p w14:paraId="0B3EA866">
            <w:r>
              <w:rPr>
                <w:rFonts w:hint="eastAsia"/>
              </w:rPr>
              <w:t>具有</w:t>
            </w:r>
          </w:p>
          <w:p w14:paraId="314E17FD">
            <w:r>
              <w:rPr>
                <w:rFonts w:hint="eastAsia"/>
              </w:rPr>
              <w:t>有效</w:t>
            </w:r>
          </w:p>
        </w:tc>
        <w:tc>
          <w:tcPr>
            <w:tcW w:w="404" w:type="pct"/>
            <w:vAlign w:val="center"/>
          </w:tcPr>
          <w:p w14:paraId="1AC97BC4">
            <w:r>
              <w:rPr>
                <w:rFonts w:hint="eastAsia"/>
              </w:rPr>
              <w:t>具有</w:t>
            </w:r>
          </w:p>
          <w:p w14:paraId="4BC5C638">
            <w:r>
              <w:rPr>
                <w:rFonts w:hint="eastAsia"/>
              </w:rPr>
              <w:t>有效</w:t>
            </w:r>
          </w:p>
        </w:tc>
        <w:tc>
          <w:tcPr>
            <w:tcW w:w="337" w:type="pct"/>
            <w:vAlign w:val="center"/>
          </w:tcPr>
          <w:p w14:paraId="56E0E25F">
            <w:r>
              <w:rPr>
                <w:rFonts w:hint="eastAsia"/>
              </w:rPr>
              <w:t>1</w:t>
            </w:r>
          </w:p>
        </w:tc>
        <w:tc>
          <w:tcPr>
            <w:tcW w:w="406" w:type="pct"/>
            <w:vAlign w:val="center"/>
          </w:tcPr>
          <w:p w14:paraId="233B5ED9">
            <w:r>
              <w:rPr>
                <w:rFonts w:hint="eastAsia"/>
              </w:rPr>
              <w:t>1</w:t>
            </w:r>
          </w:p>
        </w:tc>
      </w:tr>
      <w:tr w14:paraId="749A65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786ACBAA">
            <w:pPr>
              <w:jc w:val="center"/>
            </w:pPr>
          </w:p>
        </w:tc>
        <w:tc>
          <w:tcPr>
            <w:tcW w:w="485" w:type="pct"/>
            <w:vMerge w:val="continue"/>
            <w:vAlign w:val="center"/>
          </w:tcPr>
          <w:p w14:paraId="604AEB41">
            <w:pPr>
              <w:jc w:val="center"/>
            </w:pPr>
          </w:p>
        </w:tc>
        <w:tc>
          <w:tcPr>
            <w:tcW w:w="609" w:type="pct"/>
            <w:vAlign w:val="center"/>
          </w:tcPr>
          <w:p w14:paraId="6564B27F">
            <w:pPr>
              <w:jc w:val="center"/>
            </w:pPr>
            <w:r>
              <w:rPr>
                <w:rFonts w:hint="eastAsia"/>
              </w:rPr>
              <w:t>预算编制与重点工作任务的匹配性</w:t>
            </w:r>
          </w:p>
        </w:tc>
        <w:tc>
          <w:tcPr>
            <w:tcW w:w="1135" w:type="pct"/>
            <w:vAlign w:val="center"/>
          </w:tcPr>
          <w:p w14:paraId="199E0B04">
            <w:r>
              <w:rPr>
                <w:rFonts w:hint="eastAsia"/>
              </w:rPr>
              <w:t>内部预算编制是否与重点工作任务相匹配。</w:t>
            </w:r>
          </w:p>
        </w:tc>
        <w:tc>
          <w:tcPr>
            <w:tcW w:w="833" w:type="pct"/>
            <w:vAlign w:val="center"/>
          </w:tcPr>
          <w:p w14:paraId="59E183EF">
            <w:r>
              <w:rPr>
                <w:rFonts w:hint="eastAsia"/>
              </w:rPr>
              <w:t>预算目录及年度工作计划</w:t>
            </w:r>
          </w:p>
        </w:tc>
        <w:tc>
          <w:tcPr>
            <w:tcW w:w="335" w:type="pct"/>
            <w:vAlign w:val="center"/>
          </w:tcPr>
          <w:p w14:paraId="6471007A">
            <w:r>
              <w:rPr>
                <w:rFonts w:hint="eastAsia"/>
              </w:rPr>
              <w:t>匹配</w:t>
            </w:r>
          </w:p>
        </w:tc>
        <w:tc>
          <w:tcPr>
            <w:tcW w:w="404" w:type="pct"/>
            <w:vAlign w:val="center"/>
          </w:tcPr>
          <w:p w14:paraId="7B7773D7">
            <w:r>
              <w:rPr>
                <w:rFonts w:hint="eastAsia"/>
              </w:rPr>
              <w:t>匹配</w:t>
            </w:r>
          </w:p>
        </w:tc>
        <w:tc>
          <w:tcPr>
            <w:tcW w:w="337" w:type="pct"/>
            <w:vAlign w:val="center"/>
          </w:tcPr>
          <w:p w14:paraId="436B34F0">
            <w:r>
              <w:rPr>
                <w:rFonts w:hint="eastAsia"/>
              </w:rPr>
              <w:t>1</w:t>
            </w:r>
          </w:p>
        </w:tc>
        <w:tc>
          <w:tcPr>
            <w:tcW w:w="406" w:type="pct"/>
            <w:vAlign w:val="center"/>
          </w:tcPr>
          <w:p w14:paraId="18252150">
            <w:r>
              <w:rPr>
                <w:rFonts w:hint="eastAsia"/>
              </w:rPr>
              <w:t>1</w:t>
            </w:r>
          </w:p>
        </w:tc>
      </w:tr>
      <w:tr w14:paraId="656282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restart"/>
            <w:vAlign w:val="center"/>
          </w:tcPr>
          <w:p w14:paraId="75C11FD9">
            <w:pPr>
              <w:jc w:val="center"/>
            </w:pPr>
            <w:r>
              <w:rPr>
                <w:rFonts w:hint="eastAsia"/>
              </w:rPr>
              <w:t>部门管理</w:t>
            </w:r>
          </w:p>
          <w:p w14:paraId="51838ABD">
            <w:pPr>
              <w:jc w:val="center"/>
            </w:pPr>
            <w:r>
              <w:rPr>
                <w:rFonts w:hint="eastAsia"/>
              </w:rPr>
              <w:t>（20）</w:t>
            </w:r>
          </w:p>
          <w:p w14:paraId="1A2083A5">
            <w:pPr>
              <w:jc w:val="center"/>
            </w:pPr>
          </w:p>
        </w:tc>
        <w:tc>
          <w:tcPr>
            <w:tcW w:w="485" w:type="pct"/>
            <w:vMerge w:val="restart"/>
            <w:vAlign w:val="center"/>
          </w:tcPr>
          <w:p w14:paraId="108199B8">
            <w:pPr>
              <w:jc w:val="center"/>
            </w:pPr>
            <w:r>
              <w:rPr>
                <w:rFonts w:hint="eastAsia"/>
              </w:rPr>
              <w:t>预算执行</w:t>
            </w:r>
          </w:p>
        </w:tc>
        <w:tc>
          <w:tcPr>
            <w:tcW w:w="609" w:type="pct"/>
            <w:vAlign w:val="center"/>
          </w:tcPr>
          <w:p w14:paraId="60F3D125">
            <w:pPr>
              <w:jc w:val="center"/>
            </w:pPr>
            <w:r>
              <w:rPr>
                <w:rFonts w:hint="eastAsia"/>
              </w:rPr>
              <w:t>部门预算执行率</w:t>
            </w:r>
          </w:p>
        </w:tc>
        <w:tc>
          <w:tcPr>
            <w:tcW w:w="1135" w:type="pct"/>
            <w:vAlign w:val="center"/>
          </w:tcPr>
          <w:p w14:paraId="393DEC1A">
            <w:r>
              <w:rPr>
                <w:rFonts w:hint="eastAsia"/>
              </w:rPr>
              <w:t>部门预算执行进度情况。</w:t>
            </w:r>
          </w:p>
        </w:tc>
        <w:tc>
          <w:tcPr>
            <w:tcW w:w="833" w:type="pct"/>
            <w:vAlign w:val="center"/>
          </w:tcPr>
          <w:p w14:paraId="233CDA10">
            <w:r>
              <w:rPr>
                <w:rFonts w:hint="eastAsia"/>
              </w:rPr>
              <w:t>预算执行进度</w:t>
            </w:r>
          </w:p>
        </w:tc>
        <w:tc>
          <w:tcPr>
            <w:tcW w:w="335" w:type="pct"/>
            <w:vAlign w:val="center"/>
          </w:tcPr>
          <w:p w14:paraId="5A8F48DD">
            <w:r>
              <w:rPr>
                <w:rFonts w:hint="eastAsia"/>
              </w:rPr>
              <w:t>100%</w:t>
            </w:r>
          </w:p>
        </w:tc>
        <w:tc>
          <w:tcPr>
            <w:tcW w:w="404" w:type="pct"/>
            <w:vAlign w:val="center"/>
          </w:tcPr>
          <w:p w14:paraId="050B5D37">
            <w:r>
              <w:rPr>
                <w:rFonts w:hint="eastAsia"/>
              </w:rPr>
              <w:t>90.24%</w:t>
            </w:r>
          </w:p>
        </w:tc>
        <w:tc>
          <w:tcPr>
            <w:tcW w:w="337" w:type="pct"/>
            <w:vAlign w:val="center"/>
          </w:tcPr>
          <w:p w14:paraId="6CC269C7">
            <w:r>
              <w:rPr>
                <w:rFonts w:hint="eastAsia"/>
              </w:rPr>
              <w:t>2</w:t>
            </w:r>
          </w:p>
        </w:tc>
        <w:tc>
          <w:tcPr>
            <w:tcW w:w="406" w:type="pct"/>
            <w:vAlign w:val="center"/>
          </w:tcPr>
          <w:p w14:paraId="23F6F13F">
            <w:r>
              <w:rPr>
                <w:rFonts w:hint="eastAsia"/>
              </w:rPr>
              <w:t>1</w:t>
            </w:r>
          </w:p>
        </w:tc>
      </w:tr>
      <w:tr w14:paraId="4A5D3E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324B8A92">
            <w:pPr>
              <w:jc w:val="center"/>
            </w:pPr>
          </w:p>
        </w:tc>
        <w:tc>
          <w:tcPr>
            <w:tcW w:w="485" w:type="pct"/>
            <w:vMerge w:val="continue"/>
            <w:vAlign w:val="center"/>
          </w:tcPr>
          <w:p w14:paraId="66B0AF35">
            <w:pPr>
              <w:jc w:val="center"/>
            </w:pPr>
          </w:p>
        </w:tc>
        <w:tc>
          <w:tcPr>
            <w:tcW w:w="609" w:type="pct"/>
            <w:vAlign w:val="center"/>
          </w:tcPr>
          <w:p w14:paraId="0FDE1EE0">
            <w:pPr>
              <w:jc w:val="center"/>
            </w:pPr>
            <w:r>
              <w:rPr>
                <w:rFonts w:hint="eastAsia"/>
              </w:rPr>
              <w:t>专项资金执行率</w:t>
            </w:r>
          </w:p>
        </w:tc>
        <w:tc>
          <w:tcPr>
            <w:tcW w:w="1135" w:type="pct"/>
            <w:vAlign w:val="center"/>
          </w:tcPr>
          <w:p w14:paraId="48A269B8">
            <w:r>
              <w:rPr>
                <w:rFonts w:hint="eastAsia"/>
              </w:rPr>
              <w:t>专项资金执行进度情况。</w:t>
            </w:r>
          </w:p>
        </w:tc>
        <w:tc>
          <w:tcPr>
            <w:tcW w:w="833" w:type="pct"/>
            <w:vAlign w:val="center"/>
          </w:tcPr>
          <w:p w14:paraId="0A4913EC">
            <w:r>
              <w:rPr>
                <w:rFonts w:hint="eastAsia"/>
              </w:rPr>
              <w:t>预算执行进度</w:t>
            </w:r>
          </w:p>
        </w:tc>
        <w:tc>
          <w:tcPr>
            <w:tcW w:w="335" w:type="pct"/>
            <w:vAlign w:val="center"/>
          </w:tcPr>
          <w:p w14:paraId="286A1D0F">
            <w:r>
              <w:rPr>
                <w:rFonts w:hint="eastAsia"/>
              </w:rPr>
              <w:t>100%</w:t>
            </w:r>
          </w:p>
        </w:tc>
        <w:tc>
          <w:tcPr>
            <w:tcW w:w="404" w:type="pct"/>
            <w:vAlign w:val="center"/>
          </w:tcPr>
          <w:p w14:paraId="6E6510E6">
            <w:r>
              <w:rPr>
                <w:rFonts w:hint="eastAsia"/>
              </w:rPr>
              <w:t>100%</w:t>
            </w:r>
          </w:p>
        </w:tc>
        <w:tc>
          <w:tcPr>
            <w:tcW w:w="337" w:type="pct"/>
            <w:vAlign w:val="center"/>
          </w:tcPr>
          <w:p w14:paraId="5505BB9E">
            <w:r>
              <w:rPr>
                <w:rFonts w:hint="eastAsia"/>
              </w:rPr>
              <w:t>1</w:t>
            </w:r>
          </w:p>
        </w:tc>
        <w:tc>
          <w:tcPr>
            <w:tcW w:w="406" w:type="pct"/>
            <w:vAlign w:val="center"/>
          </w:tcPr>
          <w:p w14:paraId="42B2E20D">
            <w:r>
              <w:rPr>
                <w:rFonts w:hint="eastAsia"/>
              </w:rPr>
              <w:t>1</w:t>
            </w:r>
          </w:p>
        </w:tc>
      </w:tr>
      <w:tr w14:paraId="30B48D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jc w:val="center"/>
        </w:trPr>
        <w:tc>
          <w:tcPr>
            <w:tcW w:w="452" w:type="pct"/>
            <w:vMerge w:val="continue"/>
            <w:vAlign w:val="center"/>
          </w:tcPr>
          <w:p w14:paraId="6CBCAA7F">
            <w:pPr>
              <w:jc w:val="center"/>
            </w:pPr>
          </w:p>
        </w:tc>
        <w:tc>
          <w:tcPr>
            <w:tcW w:w="485" w:type="pct"/>
            <w:vMerge w:val="continue"/>
            <w:vAlign w:val="center"/>
          </w:tcPr>
          <w:p w14:paraId="0FD4C283">
            <w:pPr>
              <w:jc w:val="center"/>
            </w:pPr>
          </w:p>
        </w:tc>
        <w:tc>
          <w:tcPr>
            <w:tcW w:w="609" w:type="pct"/>
            <w:vAlign w:val="center"/>
          </w:tcPr>
          <w:p w14:paraId="35C95E25">
            <w:pPr>
              <w:jc w:val="center"/>
            </w:pPr>
            <w:r>
              <w:rPr>
                <w:rFonts w:hint="eastAsia"/>
              </w:rPr>
              <w:t>“三公”经费控制率</w:t>
            </w:r>
          </w:p>
        </w:tc>
        <w:tc>
          <w:tcPr>
            <w:tcW w:w="1135" w:type="pct"/>
            <w:vAlign w:val="center"/>
          </w:tcPr>
          <w:p w14:paraId="323FB5A2">
            <w:r>
              <w:rPr>
                <w:rFonts w:hint="eastAsia"/>
              </w:rPr>
              <w:t>部门“三公”经费控制情况，若不超支则不扣分。</w:t>
            </w:r>
          </w:p>
        </w:tc>
        <w:tc>
          <w:tcPr>
            <w:tcW w:w="833" w:type="pct"/>
            <w:vAlign w:val="center"/>
          </w:tcPr>
          <w:p w14:paraId="001B145D">
            <w:r>
              <w:rPr>
                <w:rFonts w:hint="eastAsia"/>
              </w:rPr>
              <w:t>财务总账系统-“三公”经费相关科目</w:t>
            </w:r>
          </w:p>
        </w:tc>
        <w:tc>
          <w:tcPr>
            <w:tcW w:w="335" w:type="pct"/>
            <w:vAlign w:val="center"/>
          </w:tcPr>
          <w:p w14:paraId="3290BE6F">
            <w:r>
              <w:rPr>
                <w:rFonts w:hint="eastAsia"/>
              </w:rPr>
              <w:t>不超</w:t>
            </w:r>
          </w:p>
        </w:tc>
        <w:tc>
          <w:tcPr>
            <w:tcW w:w="404" w:type="pct"/>
            <w:vAlign w:val="center"/>
          </w:tcPr>
          <w:p w14:paraId="44A9220A">
            <w:r>
              <w:rPr>
                <w:rFonts w:hint="eastAsia"/>
              </w:rPr>
              <w:t>不超</w:t>
            </w:r>
          </w:p>
        </w:tc>
        <w:tc>
          <w:tcPr>
            <w:tcW w:w="337" w:type="pct"/>
            <w:vAlign w:val="center"/>
          </w:tcPr>
          <w:p w14:paraId="0771849A">
            <w:r>
              <w:rPr>
                <w:rFonts w:hint="eastAsia"/>
              </w:rPr>
              <w:t>1</w:t>
            </w:r>
          </w:p>
        </w:tc>
        <w:tc>
          <w:tcPr>
            <w:tcW w:w="406" w:type="pct"/>
            <w:vAlign w:val="center"/>
          </w:tcPr>
          <w:p w14:paraId="61638105">
            <w:r>
              <w:rPr>
                <w:rFonts w:hint="eastAsia"/>
              </w:rPr>
              <w:t>1</w:t>
            </w:r>
          </w:p>
        </w:tc>
      </w:tr>
      <w:tr w14:paraId="5079C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468B5C85">
            <w:pPr>
              <w:jc w:val="center"/>
            </w:pPr>
          </w:p>
        </w:tc>
        <w:tc>
          <w:tcPr>
            <w:tcW w:w="485" w:type="pct"/>
            <w:vMerge w:val="continue"/>
            <w:vAlign w:val="center"/>
          </w:tcPr>
          <w:p w14:paraId="17EEB7B5">
            <w:pPr>
              <w:jc w:val="center"/>
            </w:pPr>
          </w:p>
        </w:tc>
        <w:tc>
          <w:tcPr>
            <w:tcW w:w="609" w:type="pct"/>
            <w:vAlign w:val="center"/>
          </w:tcPr>
          <w:p w14:paraId="2DDFBFB7">
            <w:pPr>
              <w:jc w:val="center"/>
            </w:pPr>
            <w:r>
              <w:rPr>
                <w:rFonts w:hint="eastAsia"/>
              </w:rPr>
              <w:t>预决算信息公开情况</w:t>
            </w:r>
          </w:p>
        </w:tc>
        <w:tc>
          <w:tcPr>
            <w:tcW w:w="1135" w:type="pct"/>
            <w:vAlign w:val="center"/>
          </w:tcPr>
          <w:p w14:paraId="2AE6616A">
            <w:r>
              <w:rPr>
                <w:rFonts w:hint="eastAsia"/>
              </w:rPr>
              <w:t>预决算是否在“双平台”进行公开，内容和时限是否符合要求。</w:t>
            </w:r>
          </w:p>
        </w:tc>
        <w:tc>
          <w:tcPr>
            <w:tcW w:w="833" w:type="pct"/>
            <w:vAlign w:val="center"/>
          </w:tcPr>
          <w:p w14:paraId="617FA619">
            <w:r>
              <w:rPr>
                <w:rFonts w:hint="eastAsia"/>
              </w:rPr>
              <w:t>预算公开的截图</w:t>
            </w:r>
          </w:p>
        </w:tc>
        <w:tc>
          <w:tcPr>
            <w:tcW w:w="335" w:type="pct"/>
            <w:vAlign w:val="center"/>
          </w:tcPr>
          <w:p w14:paraId="152BF860">
            <w:r>
              <w:rPr>
                <w:rFonts w:hint="eastAsia"/>
              </w:rPr>
              <w:t>符合</w:t>
            </w:r>
          </w:p>
        </w:tc>
        <w:tc>
          <w:tcPr>
            <w:tcW w:w="404" w:type="pct"/>
            <w:vAlign w:val="center"/>
          </w:tcPr>
          <w:p w14:paraId="5EEF288E">
            <w:r>
              <w:rPr>
                <w:rFonts w:hint="eastAsia"/>
              </w:rPr>
              <w:t>符合</w:t>
            </w:r>
          </w:p>
        </w:tc>
        <w:tc>
          <w:tcPr>
            <w:tcW w:w="337" w:type="pct"/>
            <w:vAlign w:val="center"/>
          </w:tcPr>
          <w:p w14:paraId="7CDD2DC3">
            <w:r>
              <w:rPr>
                <w:rFonts w:hint="eastAsia"/>
              </w:rPr>
              <w:t>1</w:t>
            </w:r>
          </w:p>
        </w:tc>
        <w:tc>
          <w:tcPr>
            <w:tcW w:w="406" w:type="pct"/>
            <w:vAlign w:val="center"/>
          </w:tcPr>
          <w:p w14:paraId="10D631AD">
            <w:r>
              <w:rPr>
                <w:rFonts w:hint="eastAsia"/>
              </w:rPr>
              <w:t>1</w:t>
            </w:r>
          </w:p>
        </w:tc>
      </w:tr>
      <w:tr w14:paraId="23CDD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0D4B8BB5">
            <w:pPr>
              <w:jc w:val="center"/>
            </w:pPr>
          </w:p>
        </w:tc>
        <w:tc>
          <w:tcPr>
            <w:tcW w:w="485" w:type="pct"/>
            <w:vMerge w:val="restart"/>
            <w:vAlign w:val="center"/>
          </w:tcPr>
          <w:p w14:paraId="4C9CD4EC">
            <w:pPr>
              <w:jc w:val="center"/>
            </w:pPr>
            <w:r>
              <w:rPr>
                <w:rFonts w:hint="eastAsia"/>
              </w:rPr>
              <w:t>收支管理</w:t>
            </w:r>
          </w:p>
        </w:tc>
        <w:tc>
          <w:tcPr>
            <w:tcW w:w="609" w:type="pct"/>
            <w:vAlign w:val="center"/>
          </w:tcPr>
          <w:p w14:paraId="08B1801C">
            <w:pPr>
              <w:jc w:val="center"/>
            </w:pPr>
            <w:r>
              <w:rPr>
                <w:rFonts w:hint="eastAsia"/>
              </w:rPr>
              <w:t>收支管理制度健全性</w:t>
            </w:r>
          </w:p>
        </w:tc>
        <w:tc>
          <w:tcPr>
            <w:tcW w:w="1135" w:type="pct"/>
            <w:vAlign w:val="center"/>
          </w:tcPr>
          <w:p w14:paraId="3CC4F0FC">
            <w:r>
              <w:rPr>
                <w:rFonts w:hint="eastAsia"/>
              </w:rPr>
              <w:t>收支管理相关制度的建设情况。</w:t>
            </w:r>
          </w:p>
        </w:tc>
        <w:tc>
          <w:tcPr>
            <w:tcW w:w="833" w:type="pct"/>
            <w:vAlign w:val="center"/>
          </w:tcPr>
          <w:p w14:paraId="330ACA99">
            <w:r>
              <w:rPr>
                <w:rFonts w:hint="eastAsia"/>
              </w:rPr>
              <w:t>财务管理相关制度</w:t>
            </w:r>
          </w:p>
        </w:tc>
        <w:tc>
          <w:tcPr>
            <w:tcW w:w="335" w:type="pct"/>
            <w:vAlign w:val="center"/>
          </w:tcPr>
          <w:p w14:paraId="0D09907E">
            <w:r>
              <w:rPr>
                <w:rFonts w:hint="eastAsia"/>
              </w:rPr>
              <w:t>建设</w:t>
            </w:r>
          </w:p>
        </w:tc>
        <w:tc>
          <w:tcPr>
            <w:tcW w:w="404" w:type="pct"/>
            <w:vAlign w:val="center"/>
          </w:tcPr>
          <w:p w14:paraId="2AE507B5">
            <w:r>
              <w:rPr>
                <w:rFonts w:hint="eastAsia"/>
              </w:rPr>
              <w:t>建设</w:t>
            </w:r>
          </w:p>
        </w:tc>
        <w:tc>
          <w:tcPr>
            <w:tcW w:w="337" w:type="pct"/>
            <w:vAlign w:val="center"/>
          </w:tcPr>
          <w:p w14:paraId="132DBED1">
            <w:r>
              <w:rPr>
                <w:rFonts w:hint="eastAsia"/>
              </w:rPr>
              <w:t>1</w:t>
            </w:r>
          </w:p>
        </w:tc>
        <w:tc>
          <w:tcPr>
            <w:tcW w:w="406" w:type="pct"/>
            <w:vAlign w:val="center"/>
          </w:tcPr>
          <w:p w14:paraId="4A2E6557">
            <w:r>
              <w:rPr>
                <w:rFonts w:hint="eastAsia"/>
              </w:rPr>
              <w:t>1</w:t>
            </w:r>
          </w:p>
        </w:tc>
      </w:tr>
      <w:tr w14:paraId="10F6A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7720B681">
            <w:pPr>
              <w:jc w:val="center"/>
            </w:pPr>
          </w:p>
        </w:tc>
        <w:tc>
          <w:tcPr>
            <w:tcW w:w="485" w:type="pct"/>
            <w:vMerge w:val="continue"/>
            <w:vAlign w:val="center"/>
          </w:tcPr>
          <w:p w14:paraId="5473EE4F">
            <w:pPr>
              <w:jc w:val="center"/>
            </w:pPr>
          </w:p>
        </w:tc>
        <w:tc>
          <w:tcPr>
            <w:tcW w:w="609" w:type="pct"/>
            <w:vAlign w:val="center"/>
          </w:tcPr>
          <w:p w14:paraId="3E39C465">
            <w:pPr>
              <w:jc w:val="center"/>
            </w:pPr>
            <w:r>
              <w:rPr>
                <w:rFonts w:hint="eastAsia"/>
              </w:rPr>
              <w:t>收支管理是否按制度执行</w:t>
            </w:r>
          </w:p>
        </w:tc>
        <w:tc>
          <w:tcPr>
            <w:tcW w:w="1135" w:type="pct"/>
            <w:vAlign w:val="center"/>
          </w:tcPr>
          <w:p w14:paraId="0D2F40E0">
            <w:r>
              <w:rPr>
                <w:rFonts w:hint="eastAsia"/>
              </w:rPr>
              <w:t>是否严格按照制度执行收支管理各项工作。</w:t>
            </w:r>
          </w:p>
        </w:tc>
        <w:tc>
          <w:tcPr>
            <w:tcW w:w="833" w:type="pct"/>
            <w:vAlign w:val="center"/>
          </w:tcPr>
          <w:p w14:paraId="3A5EEEF1">
            <w:r>
              <w:rPr>
                <w:rFonts w:hint="eastAsia"/>
              </w:rPr>
              <w:t>相关制度及会计收支凭证</w:t>
            </w:r>
          </w:p>
        </w:tc>
        <w:tc>
          <w:tcPr>
            <w:tcW w:w="335" w:type="pct"/>
            <w:vAlign w:val="center"/>
          </w:tcPr>
          <w:p w14:paraId="68FDF41B">
            <w:r>
              <w:rPr>
                <w:rFonts w:hint="eastAsia"/>
              </w:rPr>
              <w:t>执行</w:t>
            </w:r>
          </w:p>
        </w:tc>
        <w:tc>
          <w:tcPr>
            <w:tcW w:w="404" w:type="pct"/>
            <w:vAlign w:val="center"/>
          </w:tcPr>
          <w:p w14:paraId="1861A40D">
            <w:r>
              <w:rPr>
                <w:rFonts w:hint="eastAsia"/>
              </w:rPr>
              <w:t>执行</w:t>
            </w:r>
          </w:p>
        </w:tc>
        <w:tc>
          <w:tcPr>
            <w:tcW w:w="337" w:type="pct"/>
            <w:vAlign w:val="center"/>
          </w:tcPr>
          <w:p w14:paraId="6E42347D">
            <w:r>
              <w:rPr>
                <w:rFonts w:hint="eastAsia"/>
              </w:rPr>
              <w:t>1</w:t>
            </w:r>
          </w:p>
        </w:tc>
        <w:tc>
          <w:tcPr>
            <w:tcW w:w="406" w:type="pct"/>
            <w:vAlign w:val="center"/>
          </w:tcPr>
          <w:p w14:paraId="239D4D81">
            <w:r>
              <w:rPr>
                <w:rFonts w:hint="eastAsia"/>
              </w:rPr>
              <w:t>1</w:t>
            </w:r>
          </w:p>
        </w:tc>
      </w:tr>
      <w:tr w14:paraId="7299B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0AD324B5">
            <w:pPr>
              <w:jc w:val="center"/>
            </w:pPr>
          </w:p>
        </w:tc>
        <w:tc>
          <w:tcPr>
            <w:tcW w:w="485" w:type="pct"/>
            <w:vMerge w:val="restart"/>
            <w:vAlign w:val="center"/>
          </w:tcPr>
          <w:p w14:paraId="7D4F8AD8">
            <w:pPr>
              <w:jc w:val="center"/>
            </w:pPr>
            <w:r>
              <w:rPr>
                <w:rFonts w:hint="eastAsia"/>
              </w:rPr>
              <w:t>资产管理</w:t>
            </w:r>
          </w:p>
        </w:tc>
        <w:tc>
          <w:tcPr>
            <w:tcW w:w="609" w:type="pct"/>
            <w:vAlign w:val="center"/>
          </w:tcPr>
          <w:p w14:paraId="27161C33">
            <w:pPr>
              <w:jc w:val="center"/>
            </w:pPr>
            <w:r>
              <w:rPr>
                <w:rFonts w:hint="eastAsia"/>
              </w:rPr>
              <w:t>资产管理制度健全性</w:t>
            </w:r>
          </w:p>
        </w:tc>
        <w:tc>
          <w:tcPr>
            <w:tcW w:w="1135" w:type="pct"/>
            <w:vAlign w:val="center"/>
          </w:tcPr>
          <w:p w14:paraId="5BB073BE">
            <w:r>
              <w:rPr>
                <w:rFonts w:hint="eastAsia"/>
              </w:rPr>
              <w:t>部门资产管理制度建设情况。</w:t>
            </w:r>
          </w:p>
        </w:tc>
        <w:tc>
          <w:tcPr>
            <w:tcW w:w="833" w:type="pct"/>
            <w:vAlign w:val="center"/>
          </w:tcPr>
          <w:p w14:paraId="270CEB33">
            <w:r>
              <w:rPr>
                <w:rFonts w:hint="eastAsia"/>
              </w:rPr>
              <w:t>医院相关资产管理制度</w:t>
            </w:r>
          </w:p>
        </w:tc>
        <w:tc>
          <w:tcPr>
            <w:tcW w:w="335" w:type="pct"/>
            <w:vAlign w:val="center"/>
          </w:tcPr>
          <w:p w14:paraId="52BF7422">
            <w:r>
              <w:rPr>
                <w:rFonts w:hint="eastAsia"/>
              </w:rPr>
              <w:t>建设</w:t>
            </w:r>
          </w:p>
        </w:tc>
        <w:tc>
          <w:tcPr>
            <w:tcW w:w="404" w:type="pct"/>
            <w:vAlign w:val="center"/>
          </w:tcPr>
          <w:p w14:paraId="376F29C6">
            <w:r>
              <w:rPr>
                <w:rFonts w:hint="eastAsia"/>
              </w:rPr>
              <w:t>建设</w:t>
            </w:r>
          </w:p>
        </w:tc>
        <w:tc>
          <w:tcPr>
            <w:tcW w:w="337" w:type="pct"/>
            <w:vAlign w:val="center"/>
          </w:tcPr>
          <w:p w14:paraId="40D84ACD">
            <w:r>
              <w:rPr>
                <w:rFonts w:hint="eastAsia"/>
              </w:rPr>
              <w:t>1</w:t>
            </w:r>
          </w:p>
        </w:tc>
        <w:tc>
          <w:tcPr>
            <w:tcW w:w="406" w:type="pct"/>
            <w:vAlign w:val="center"/>
          </w:tcPr>
          <w:p w14:paraId="55AF452B">
            <w:r>
              <w:rPr>
                <w:rFonts w:hint="eastAsia"/>
              </w:rPr>
              <w:t>1</w:t>
            </w:r>
          </w:p>
        </w:tc>
      </w:tr>
      <w:tr w14:paraId="79D851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3" w:hRule="atLeast"/>
          <w:jc w:val="center"/>
        </w:trPr>
        <w:tc>
          <w:tcPr>
            <w:tcW w:w="452" w:type="pct"/>
            <w:vMerge w:val="continue"/>
            <w:vAlign w:val="center"/>
          </w:tcPr>
          <w:p w14:paraId="28A7C3FA">
            <w:pPr>
              <w:jc w:val="center"/>
            </w:pPr>
          </w:p>
        </w:tc>
        <w:tc>
          <w:tcPr>
            <w:tcW w:w="485" w:type="pct"/>
            <w:vMerge w:val="continue"/>
            <w:vAlign w:val="center"/>
          </w:tcPr>
          <w:p w14:paraId="48E8F3DE">
            <w:pPr>
              <w:jc w:val="center"/>
            </w:pPr>
          </w:p>
        </w:tc>
        <w:tc>
          <w:tcPr>
            <w:tcW w:w="609" w:type="pct"/>
            <w:vAlign w:val="center"/>
          </w:tcPr>
          <w:p w14:paraId="7C535E6F">
            <w:pPr>
              <w:jc w:val="center"/>
            </w:pPr>
            <w:r>
              <w:rPr>
                <w:rFonts w:hint="eastAsia"/>
              </w:rPr>
              <w:t>资产管理是否按制度执行</w:t>
            </w:r>
          </w:p>
        </w:tc>
        <w:tc>
          <w:tcPr>
            <w:tcW w:w="1135" w:type="pct"/>
            <w:vAlign w:val="center"/>
          </w:tcPr>
          <w:p w14:paraId="0699C2FB">
            <w:r>
              <w:rPr>
                <w:rFonts w:hint="eastAsia"/>
              </w:rPr>
              <w:t>资产管理制度执行情况。</w:t>
            </w:r>
          </w:p>
        </w:tc>
        <w:tc>
          <w:tcPr>
            <w:tcW w:w="833" w:type="pct"/>
            <w:vAlign w:val="center"/>
          </w:tcPr>
          <w:p w14:paraId="043A84D2">
            <w:r>
              <w:rPr>
                <w:rFonts w:hint="eastAsia"/>
              </w:rPr>
              <w:t>相关制度及资产出入库、验收、报废等记录</w:t>
            </w:r>
          </w:p>
        </w:tc>
        <w:tc>
          <w:tcPr>
            <w:tcW w:w="335" w:type="pct"/>
            <w:vAlign w:val="center"/>
          </w:tcPr>
          <w:p w14:paraId="35464B6F">
            <w:r>
              <w:rPr>
                <w:rFonts w:hint="eastAsia"/>
              </w:rPr>
              <w:t>执行</w:t>
            </w:r>
          </w:p>
        </w:tc>
        <w:tc>
          <w:tcPr>
            <w:tcW w:w="404" w:type="pct"/>
            <w:vAlign w:val="center"/>
          </w:tcPr>
          <w:p w14:paraId="32DB7172">
            <w:r>
              <w:rPr>
                <w:rFonts w:hint="eastAsia"/>
              </w:rPr>
              <w:t>执行</w:t>
            </w:r>
          </w:p>
        </w:tc>
        <w:tc>
          <w:tcPr>
            <w:tcW w:w="337" w:type="pct"/>
            <w:vAlign w:val="center"/>
          </w:tcPr>
          <w:p w14:paraId="3AA12F4A">
            <w:r>
              <w:rPr>
                <w:rFonts w:hint="eastAsia"/>
              </w:rPr>
              <w:t>1</w:t>
            </w:r>
          </w:p>
        </w:tc>
        <w:tc>
          <w:tcPr>
            <w:tcW w:w="406" w:type="pct"/>
            <w:vAlign w:val="center"/>
          </w:tcPr>
          <w:p w14:paraId="49465E1F">
            <w:r>
              <w:rPr>
                <w:rFonts w:hint="eastAsia"/>
              </w:rPr>
              <w:t>1</w:t>
            </w:r>
          </w:p>
        </w:tc>
      </w:tr>
      <w:tr w14:paraId="421C6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2" w:hRule="atLeast"/>
          <w:jc w:val="center"/>
        </w:trPr>
        <w:tc>
          <w:tcPr>
            <w:tcW w:w="452" w:type="pct"/>
            <w:vMerge w:val="continue"/>
            <w:vAlign w:val="center"/>
          </w:tcPr>
          <w:p w14:paraId="1B9682A7">
            <w:pPr>
              <w:jc w:val="center"/>
            </w:pPr>
          </w:p>
        </w:tc>
        <w:tc>
          <w:tcPr>
            <w:tcW w:w="485" w:type="pct"/>
            <w:vMerge w:val="restart"/>
            <w:vAlign w:val="center"/>
          </w:tcPr>
          <w:p w14:paraId="757CF82D">
            <w:pPr>
              <w:jc w:val="center"/>
            </w:pPr>
            <w:r>
              <w:rPr>
                <w:rFonts w:hint="eastAsia"/>
              </w:rPr>
              <w:t>政府采购管理</w:t>
            </w:r>
          </w:p>
        </w:tc>
        <w:tc>
          <w:tcPr>
            <w:tcW w:w="609" w:type="pct"/>
            <w:vAlign w:val="center"/>
          </w:tcPr>
          <w:p w14:paraId="3E186A73">
            <w:pPr>
              <w:jc w:val="center"/>
            </w:pPr>
            <w:r>
              <w:rPr>
                <w:rFonts w:hint="eastAsia"/>
              </w:rPr>
              <w:t>政府采购管理制度健全性</w:t>
            </w:r>
          </w:p>
        </w:tc>
        <w:tc>
          <w:tcPr>
            <w:tcW w:w="1135" w:type="pct"/>
            <w:vAlign w:val="center"/>
          </w:tcPr>
          <w:p w14:paraId="03298178">
            <w:r>
              <w:rPr>
                <w:rFonts w:hint="eastAsia"/>
              </w:rPr>
              <w:t>政府采购制度建设情况。</w:t>
            </w:r>
          </w:p>
        </w:tc>
        <w:tc>
          <w:tcPr>
            <w:tcW w:w="833" w:type="pct"/>
            <w:vAlign w:val="center"/>
          </w:tcPr>
          <w:p w14:paraId="37994CE1">
            <w:r>
              <w:rPr>
                <w:rFonts w:hint="eastAsia"/>
              </w:rPr>
              <w:t>医院相关政府采购制度</w:t>
            </w:r>
          </w:p>
        </w:tc>
        <w:tc>
          <w:tcPr>
            <w:tcW w:w="335" w:type="pct"/>
            <w:vAlign w:val="center"/>
          </w:tcPr>
          <w:p w14:paraId="49964BF8">
            <w:r>
              <w:rPr>
                <w:rFonts w:hint="eastAsia"/>
              </w:rPr>
              <w:t>建设</w:t>
            </w:r>
          </w:p>
        </w:tc>
        <w:tc>
          <w:tcPr>
            <w:tcW w:w="404" w:type="pct"/>
            <w:vAlign w:val="center"/>
          </w:tcPr>
          <w:p w14:paraId="1E02F515">
            <w:r>
              <w:rPr>
                <w:rFonts w:hint="eastAsia"/>
              </w:rPr>
              <w:t>建设</w:t>
            </w:r>
          </w:p>
        </w:tc>
        <w:tc>
          <w:tcPr>
            <w:tcW w:w="337" w:type="pct"/>
            <w:vAlign w:val="center"/>
          </w:tcPr>
          <w:p w14:paraId="7368F69C">
            <w:r>
              <w:rPr>
                <w:rFonts w:hint="eastAsia"/>
              </w:rPr>
              <w:t>1</w:t>
            </w:r>
          </w:p>
        </w:tc>
        <w:tc>
          <w:tcPr>
            <w:tcW w:w="406" w:type="pct"/>
            <w:vAlign w:val="center"/>
          </w:tcPr>
          <w:p w14:paraId="23A1A718">
            <w:r>
              <w:rPr>
                <w:rFonts w:hint="eastAsia"/>
              </w:rPr>
              <w:t>1</w:t>
            </w:r>
          </w:p>
        </w:tc>
      </w:tr>
      <w:tr w14:paraId="0B07D8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63285072">
            <w:pPr>
              <w:jc w:val="center"/>
            </w:pPr>
          </w:p>
        </w:tc>
        <w:tc>
          <w:tcPr>
            <w:tcW w:w="485" w:type="pct"/>
            <w:vMerge w:val="continue"/>
            <w:vAlign w:val="center"/>
          </w:tcPr>
          <w:p w14:paraId="612A74F1">
            <w:pPr>
              <w:jc w:val="center"/>
            </w:pPr>
          </w:p>
        </w:tc>
        <w:tc>
          <w:tcPr>
            <w:tcW w:w="609" w:type="pct"/>
            <w:vAlign w:val="center"/>
          </w:tcPr>
          <w:p w14:paraId="58193B78">
            <w:pPr>
              <w:jc w:val="center"/>
            </w:pPr>
            <w:r>
              <w:rPr>
                <w:rFonts w:hint="eastAsia"/>
              </w:rPr>
              <w:t>政府采购管理是否按制度执行</w:t>
            </w:r>
          </w:p>
        </w:tc>
        <w:tc>
          <w:tcPr>
            <w:tcW w:w="1135" w:type="pct"/>
            <w:vAlign w:val="center"/>
          </w:tcPr>
          <w:p w14:paraId="1308C720">
            <w:r>
              <w:rPr>
                <w:rFonts w:hint="eastAsia"/>
              </w:rPr>
              <w:t>部门政府采购制度执行情况。</w:t>
            </w:r>
          </w:p>
        </w:tc>
        <w:tc>
          <w:tcPr>
            <w:tcW w:w="833" w:type="pct"/>
            <w:vAlign w:val="center"/>
          </w:tcPr>
          <w:p w14:paraId="37E5C2B5">
            <w:r>
              <w:rPr>
                <w:rFonts w:hint="eastAsia"/>
              </w:rPr>
              <w:t>政府采购的申请、招标投标等相关流程记录</w:t>
            </w:r>
          </w:p>
        </w:tc>
        <w:tc>
          <w:tcPr>
            <w:tcW w:w="335" w:type="pct"/>
            <w:vAlign w:val="center"/>
          </w:tcPr>
          <w:p w14:paraId="520EC88A">
            <w:r>
              <w:rPr>
                <w:rFonts w:hint="eastAsia"/>
              </w:rPr>
              <w:t>执行</w:t>
            </w:r>
          </w:p>
        </w:tc>
        <w:tc>
          <w:tcPr>
            <w:tcW w:w="404" w:type="pct"/>
            <w:vAlign w:val="center"/>
          </w:tcPr>
          <w:p w14:paraId="46F9B94A">
            <w:r>
              <w:rPr>
                <w:rFonts w:hint="eastAsia"/>
              </w:rPr>
              <w:t>执行</w:t>
            </w:r>
          </w:p>
        </w:tc>
        <w:tc>
          <w:tcPr>
            <w:tcW w:w="337" w:type="pct"/>
            <w:vAlign w:val="center"/>
          </w:tcPr>
          <w:p w14:paraId="3631BEBC">
            <w:r>
              <w:rPr>
                <w:rFonts w:hint="eastAsia"/>
              </w:rPr>
              <w:t>1</w:t>
            </w:r>
          </w:p>
        </w:tc>
        <w:tc>
          <w:tcPr>
            <w:tcW w:w="406" w:type="pct"/>
            <w:vAlign w:val="center"/>
          </w:tcPr>
          <w:p w14:paraId="252E8BC1">
            <w:r>
              <w:rPr>
                <w:rFonts w:hint="eastAsia"/>
              </w:rPr>
              <w:t>1</w:t>
            </w:r>
          </w:p>
        </w:tc>
      </w:tr>
      <w:tr w14:paraId="2BDCAD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4B57B39A">
            <w:pPr>
              <w:jc w:val="center"/>
            </w:pPr>
          </w:p>
        </w:tc>
        <w:tc>
          <w:tcPr>
            <w:tcW w:w="485" w:type="pct"/>
            <w:vMerge w:val="restart"/>
            <w:vAlign w:val="center"/>
          </w:tcPr>
          <w:p w14:paraId="2BEAD248">
            <w:pPr>
              <w:jc w:val="center"/>
            </w:pPr>
            <w:r>
              <w:rPr>
                <w:rFonts w:hint="eastAsia"/>
              </w:rPr>
              <w:t>建设项目管理（适用）</w:t>
            </w:r>
          </w:p>
        </w:tc>
        <w:tc>
          <w:tcPr>
            <w:tcW w:w="609" w:type="pct"/>
            <w:vAlign w:val="center"/>
          </w:tcPr>
          <w:p w14:paraId="23EFADCB">
            <w:pPr>
              <w:jc w:val="center"/>
            </w:pPr>
            <w:r>
              <w:rPr>
                <w:rFonts w:hint="eastAsia"/>
              </w:rPr>
              <w:t>建设项目管理制度健全性</w:t>
            </w:r>
          </w:p>
        </w:tc>
        <w:tc>
          <w:tcPr>
            <w:tcW w:w="1135" w:type="pct"/>
            <w:vAlign w:val="center"/>
          </w:tcPr>
          <w:p w14:paraId="6B792CDB">
            <w:r>
              <w:rPr>
                <w:rFonts w:hint="eastAsia"/>
              </w:rPr>
              <w:t>建设项目管理制度是否建立，是否齐全，是否科学。</w:t>
            </w:r>
          </w:p>
        </w:tc>
        <w:tc>
          <w:tcPr>
            <w:tcW w:w="833" w:type="pct"/>
            <w:vAlign w:val="center"/>
          </w:tcPr>
          <w:p w14:paraId="7015C802">
            <w:r>
              <w:rPr>
                <w:rFonts w:hint="eastAsia"/>
              </w:rPr>
              <w:t>医院建设相关管理制度</w:t>
            </w:r>
          </w:p>
        </w:tc>
        <w:tc>
          <w:tcPr>
            <w:tcW w:w="335" w:type="pct"/>
            <w:vAlign w:val="center"/>
          </w:tcPr>
          <w:p w14:paraId="3F3C01D7">
            <w:r>
              <w:rPr>
                <w:rFonts w:hint="eastAsia"/>
              </w:rPr>
              <w:t>建立</w:t>
            </w:r>
          </w:p>
        </w:tc>
        <w:tc>
          <w:tcPr>
            <w:tcW w:w="404" w:type="pct"/>
            <w:vAlign w:val="center"/>
          </w:tcPr>
          <w:p w14:paraId="10282A2F">
            <w:r>
              <w:rPr>
                <w:rFonts w:hint="eastAsia"/>
              </w:rPr>
              <w:t>建立</w:t>
            </w:r>
          </w:p>
        </w:tc>
        <w:tc>
          <w:tcPr>
            <w:tcW w:w="337" w:type="pct"/>
            <w:vAlign w:val="center"/>
          </w:tcPr>
          <w:p w14:paraId="228C2626">
            <w:r>
              <w:rPr>
                <w:rFonts w:hint="eastAsia"/>
              </w:rPr>
              <w:t>1</w:t>
            </w:r>
          </w:p>
        </w:tc>
        <w:tc>
          <w:tcPr>
            <w:tcW w:w="406" w:type="pct"/>
            <w:vAlign w:val="center"/>
          </w:tcPr>
          <w:p w14:paraId="56AB7993">
            <w:r>
              <w:rPr>
                <w:rFonts w:hint="eastAsia"/>
              </w:rPr>
              <w:t>1</w:t>
            </w:r>
          </w:p>
        </w:tc>
      </w:tr>
      <w:tr w14:paraId="4AFB44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400D5B74">
            <w:pPr>
              <w:jc w:val="center"/>
            </w:pPr>
          </w:p>
        </w:tc>
        <w:tc>
          <w:tcPr>
            <w:tcW w:w="485" w:type="pct"/>
            <w:vMerge w:val="continue"/>
            <w:vAlign w:val="center"/>
          </w:tcPr>
          <w:p w14:paraId="02D05E53">
            <w:pPr>
              <w:jc w:val="center"/>
            </w:pPr>
          </w:p>
        </w:tc>
        <w:tc>
          <w:tcPr>
            <w:tcW w:w="609" w:type="pct"/>
            <w:vAlign w:val="center"/>
          </w:tcPr>
          <w:p w14:paraId="232E60F4">
            <w:pPr>
              <w:jc w:val="center"/>
            </w:pPr>
            <w:r>
              <w:rPr>
                <w:rFonts w:hint="eastAsia"/>
              </w:rPr>
              <w:t>建设项目管理是否按制度执行</w:t>
            </w:r>
          </w:p>
        </w:tc>
        <w:tc>
          <w:tcPr>
            <w:tcW w:w="1135" w:type="pct"/>
            <w:vAlign w:val="center"/>
          </w:tcPr>
          <w:p w14:paraId="50C7A05A">
            <w:r>
              <w:rPr>
                <w:rFonts w:hint="eastAsia"/>
              </w:rPr>
              <w:t>建设项目管理是否严格按照制度执行。</w:t>
            </w:r>
          </w:p>
        </w:tc>
        <w:tc>
          <w:tcPr>
            <w:tcW w:w="833" w:type="pct"/>
            <w:vAlign w:val="center"/>
          </w:tcPr>
          <w:p w14:paraId="1F0BDB49">
            <w:r>
              <w:rPr>
                <w:rFonts w:hint="eastAsia"/>
              </w:rPr>
              <w:t>相关建设项目的立项、招标投标、竣工验收等相关记录</w:t>
            </w:r>
          </w:p>
        </w:tc>
        <w:tc>
          <w:tcPr>
            <w:tcW w:w="335" w:type="pct"/>
            <w:vAlign w:val="center"/>
          </w:tcPr>
          <w:p w14:paraId="37DFA601">
            <w:r>
              <w:rPr>
                <w:rFonts w:hint="eastAsia"/>
              </w:rPr>
              <w:t>执行</w:t>
            </w:r>
          </w:p>
        </w:tc>
        <w:tc>
          <w:tcPr>
            <w:tcW w:w="404" w:type="pct"/>
            <w:vAlign w:val="center"/>
          </w:tcPr>
          <w:p w14:paraId="1148A62A">
            <w:r>
              <w:rPr>
                <w:rFonts w:hint="eastAsia"/>
              </w:rPr>
              <w:t>执行</w:t>
            </w:r>
          </w:p>
        </w:tc>
        <w:tc>
          <w:tcPr>
            <w:tcW w:w="337" w:type="pct"/>
            <w:vAlign w:val="center"/>
          </w:tcPr>
          <w:p w14:paraId="2B21B146">
            <w:r>
              <w:rPr>
                <w:rFonts w:hint="eastAsia"/>
              </w:rPr>
              <w:t>1</w:t>
            </w:r>
          </w:p>
        </w:tc>
        <w:tc>
          <w:tcPr>
            <w:tcW w:w="406" w:type="pct"/>
            <w:vAlign w:val="center"/>
          </w:tcPr>
          <w:p w14:paraId="0ED98194">
            <w:r>
              <w:rPr>
                <w:rFonts w:hint="eastAsia"/>
              </w:rPr>
              <w:t>1</w:t>
            </w:r>
          </w:p>
        </w:tc>
      </w:tr>
      <w:tr w14:paraId="7CE925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3540A01B">
            <w:pPr>
              <w:jc w:val="center"/>
            </w:pPr>
          </w:p>
        </w:tc>
        <w:tc>
          <w:tcPr>
            <w:tcW w:w="485" w:type="pct"/>
            <w:vMerge w:val="restart"/>
            <w:vAlign w:val="center"/>
          </w:tcPr>
          <w:p w14:paraId="1CE0BF81">
            <w:pPr>
              <w:jc w:val="center"/>
            </w:pPr>
            <w:r>
              <w:rPr>
                <w:rFonts w:hint="eastAsia"/>
              </w:rPr>
              <w:t>内部控制管理</w:t>
            </w:r>
          </w:p>
        </w:tc>
        <w:tc>
          <w:tcPr>
            <w:tcW w:w="609" w:type="pct"/>
            <w:vAlign w:val="center"/>
          </w:tcPr>
          <w:p w14:paraId="5D5BC3C8">
            <w:pPr>
              <w:jc w:val="center"/>
            </w:pPr>
            <w:r>
              <w:rPr>
                <w:rFonts w:hint="eastAsia"/>
              </w:rPr>
              <w:t>内部控制建设情况</w:t>
            </w:r>
          </w:p>
        </w:tc>
        <w:tc>
          <w:tcPr>
            <w:tcW w:w="1135" w:type="pct"/>
            <w:vAlign w:val="center"/>
          </w:tcPr>
          <w:p w14:paraId="0309BDFE">
            <w:r>
              <w:rPr>
                <w:rFonts w:hint="eastAsia"/>
              </w:rPr>
              <w:t>部门内部控制机制建设情况。</w:t>
            </w:r>
          </w:p>
        </w:tc>
        <w:tc>
          <w:tcPr>
            <w:tcW w:w="833" w:type="pct"/>
            <w:vAlign w:val="center"/>
          </w:tcPr>
          <w:p w14:paraId="69D4B992">
            <w:r>
              <w:rPr>
                <w:rFonts w:hint="eastAsia"/>
              </w:rPr>
              <w:t>医院相关内控制度</w:t>
            </w:r>
          </w:p>
        </w:tc>
        <w:tc>
          <w:tcPr>
            <w:tcW w:w="335" w:type="pct"/>
            <w:vAlign w:val="center"/>
          </w:tcPr>
          <w:p w14:paraId="6F2205BB">
            <w:r>
              <w:rPr>
                <w:rFonts w:hint="eastAsia"/>
              </w:rPr>
              <w:t>建设</w:t>
            </w:r>
          </w:p>
        </w:tc>
        <w:tc>
          <w:tcPr>
            <w:tcW w:w="404" w:type="pct"/>
            <w:vAlign w:val="center"/>
          </w:tcPr>
          <w:p w14:paraId="1AC210C0">
            <w:r>
              <w:rPr>
                <w:rFonts w:hint="eastAsia"/>
              </w:rPr>
              <w:t>建设</w:t>
            </w:r>
          </w:p>
        </w:tc>
        <w:tc>
          <w:tcPr>
            <w:tcW w:w="337" w:type="pct"/>
            <w:vAlign w:val="center"/>
          </w:tcPr>
          <w:p w14:paraId="217C6D69">
            <w:r>
              <w:rPr>
                <w:rFonts w:hint="eastAsia"/>
              </w:rPr>
              <w:t>2</w:t>
            </w:r>
          </w:p>
        </w:tc>
        <w:tc>
          <w:tcPr>
            <w:tcW w:w="406" w:type="pct"/>
            <w:vAlign w:val="center"/>
          </w:tcPr>
          <w:p w14:paraId="58F8386B">
            <w:r>
              <w:rPr>
                <w:rFonts w:hint="eastAsia"/>
              </w:rPr>
              <w:t>2</w:t>
            </w:r>
          </w:p>
        </w:tc>
      </w:tr>
      <w:tr w14:paraId="1269C6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1CE546C2">
            <w:pPr>
              <w:jc w:val="center"/>
            </w:pPr>
          </w:p>
        </w:tc>
        <w:tc>
          <w:tcPr>
            <w:tcW w:w="485" w:type="pct"/>
            <w:vMerge w:val="continue"/>
            <w:vAlign w:val="center"/>
          </w:tcPr>
          <w:p w14:paraId="54829724">
            <w:pPr>
              <w:jc w:val="center"/>
            </w:pPr>
          </w:p>
        </w:tc>
        <w:tc>
          <w:tcPr>
            <w:tcW w:w="609" w:type="pct"/>
            <w:vAlign w:val="center"/>
          </w:tcPr>
          <w:p w14:paraId="232E2A0C">
            <w:pPr>
              <w:jc w:val="center"/>
            </w:pPr>
            <w:r>
              <w:rPr>
                <w:rFonts w:hint="eastAsia"/>
              </w:rPr>
              <w:t>内部控制执行情况</w:t>
            </w:r>
          </w:p>
        </w:tc>
        <w:tc>
          <w:tcPr>
            <w:tcW w:w="1135" w:type="pct"/>
            <w:vAlign w:val="center"/>
          </w:tcPr>
          <w:p w14:paraId="682CC5A4">
            <w:r>
              <w:rPr>
                <w:rFonts w:hint="eastAsia"/>
              </w:rPr>
              <w:t>部门内部控制机制执行情况。</w:t>
            </w:r>
          </w:p>
        </w:tc>
        <w:tc>
          <w:tcPr>
            <w:tcW w:w="833" w:type="pct"/>
            <w:vAlign w:val="center"/>
          </w:tcPr>
          <w:p w14:paraId="134C06C1">
            <w:r>
              <w:rPr>
                <w:rFonts w:hint="eastAsia"/>
              </w:rPr>
              <w:t>内控管理的活动记录、各种内控截图</w:t>
            </w:r>
          </w:p>
        </w:tc>
        <w:tc>
          <w:tcPr>
            <w:tcW w:w="335" w:type="pct"/>
            <w:vAlign w:val="center"/>
          </w:tcPr>
          <w:p w14:paraId="5122751D">
            <w:r>
              <w:rPr>
                <w:rFonts w:hint="eastAsia"/>
              </w:rPr>
              <w:t>执行</w:t>
            </w:r>
          </w:p>
        </w:tc>
        <w:tc>
          <w:tcPr>
            <w:tcW w:w="404" w:type="pct"/>
            <w:vAlign w:val="center"/>
          </w:tcPr>
          <w:p w14:paraId="3E2D835A">
            <w:r>
              <w:rPr>
                <w:rFonts w:hint="eastAsia"/>
              </w:rPr>
              <w:t>执行</w:t>
            </w:r>
          </w:p>
        </w:tc>
        <w:tc>
          <w:tcPr>
            <w:tcW w:w="337" w:type="pct"/>
            <w:vAlign w:val="center"/>
          </w:tcPr>
          <w:p w14:paraId="21B971DD">
            <w:r>
              <w:rPr>
                <w:rFonts w:hint="eastAsia"/>
              </w:rPr>
              <w:t>1</w:t>
            </w:r>
          </w:p>
        </w:tc>
        <w:tc>
          <w:tcPr>
            <w:tcW w:w="406" w:type="pct"/>
            <w:vAlign w:val="center"/>
          </w:tcPr>
          <w:p w14:paraId="148DAAD6">
            <w:r>
              <w:rPr>
                <w:rFonts w:hint="eastAsia"/>
              </w:rPr>
              <w:t>1</w:t>
            </w:r>
          </w:p>
        </w:tc>
      </w:tr>
      <w:tr w14:paraId="15DFC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00329616">
            <w:pPr>
              <w:jc w:val="center"/>
            </w:pPr>
          </w:p>
        </w:tc>
        <w:tc>
          <w:tcPr>
            <w:tcW w:w="485" w:type="pct"/>
            <w:vMerge w:val="continue"/>
            <w:vAlign w:val="center"/>
          </w:tcPr>
          <w:p w14:paraId="04E391D3">
            <w:pPr>
              <w:jc w:val="center"/>
            </w:pPr>
          </w:p>
        </w:tc>
        <w:tc>
          <w:tcPr>
            <w:tcW w:w="609" w:type="pct"/>
            <w:vAlign w:val="center"/>
          </w:tcPr>
          <w:p w14:paraId="426C3EA3">
            <w:pPr>
              <w:jc w:val="center"/>
            </w:pPr>
            <w:r>
              <w:rPr>
                <w:rFonts w:hint="eastAsia"/>
              </w:rPr>
              <w:t>内部控制监督评价</w:t>
            </w:r>
          </w:p>
        </w:tc>
        <w:tc>
          <w:tcPr>
            <w:tcW w:w="1135" w:type="pct"/>
            <w:vAlign w:val="center"/>
          </w:tcPr>
          <w:p w14:paraId="4EFFA8CB">
            <w:r>
              <w:rPr>
                <w:rFonts w:hint="eastAsia"/>
              </w:rPr>
              <w:t>部门内控监督评价情况。</w:t>
            </w:r>
          </w:p>
        </w:tc>
        <w:tc>
          <w:tcPr>
            <w:tcW w:w="833" w:type="pct"/>
            <w:vAlign w:val="center"/>
          </w:tcPr>
          <w:p w14:paraId="265A76D9">
            <w:r>
              <w:rPr>
                <w:rFonts w:hint="eastAsia"/>
              </w:rPr>
              <w:t>内控评价相关内容</w:t>
            </w:r>
          </w:p>
        </w:tc>
        <w:tc>
          <w:tcPr>
            <w:tcW w:w="335" w:type="pct"/>
            <w:vAlign w:val="center"/>
          </w:tcPr>
          <w:p w14:paraId="76E28BAA">
            <w:r>
              <w:rPr>
                <w:rFonts w:hint="eastAsia"/>
              </w:rPr>
              <w:t>完备</w:t>
            </w:r>
          </w:p>
        </w:tc>
        <w:tc>
          <w:tcPr>
            <w:tcW w:w="404" w:type="pct"/>
            <w:vAlign w:val="center"/>
          </w:tcPr>
          <w:p w14:paraId="49A239EA">
            <w:r>
              <w:rPr>
                <w:rFonts w:hint="eastAsia"/>
              </w:rPr>
              <w:t>完备</w:t>
            </w:r>
          </w:p>
        </w:tc>
        <w:tc>
          <w:tcPr>
            <w:tcW w:w="337" w:type="pct"/>
            <w:vAlign w:val="center"/>
          </w:tcPr>
          <w:p w14:paraId="0849653D">
            <w:r>
              <w:rPr>
                <w:rFonts w:hint="eastAsia"/>
              </w:rPr>
              <w:t>1</w:t>
            </w:r>
          </w:p>
        </w:tc>
        <w:tc>
          <w:tcPr>
            <w:tcW w:w="406" w:type="pct"/>
            <w:vAlign w:val="center"/>
          </w:tcPr>
          <w:p w14:paraId="7BE317A1">
            <w:r>
              <w:rPr>
                <w:rFonts w:hint="eastAsia"/>
              </w:rPr>
              <w:t>1</w:t>
            </w:r>
          </w:p>
        </w:tc>
      </w:tr>
      <w:tr w14:paraId="1B2E27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61033E87">
            <w:pPr>
              <w:jc w:val="center"/>
            </w:pPr>
          </w:p>
        </w:tc>
        <w:tc>
          <w:tcPr>
            <w:tcW w:w="485" w:type="pct"/>
            <w:vMerge w:val="restart"/>
            <w:vAlign w:val="center"/>
          </w:tcPr>
          <w:p w14:paraId="28721A3D">
            <w:pPr>
              <w:jc w:val="center"/>
            </w:pPr>
            <w:r>
              <w:rPr>
                <w:rFonts w:hint="eastAsia"/>
              </w:rPr>
              <w:t>预算绩效管理</w:t>
            </w:r>
          </w:p>
        </w:tc>
        <w:tc>
          <w:tcPr>
            <w:tcW w:w="609" w:type="pct"/>
            <w:vAlign w:val="center"/>
          </w:tcPr>
          <w:p w14:paraId="53F8A495">
            <w:pPr>
              <w:jc w:val="center"/>
            </w:pPr>
            <w:r>
              <w:rPr>
                <w:rFonts w:hint="eastAsia"/>
              </w:rPr>
              <w:t>组织管理情况</w:t>
            </w:r>
          </w:p>
        </w:tc>
        <w:tc>
          <w:tcPr>
            <w:tcW w:w="1135" w:type="pct"/>
            <w:vAlign w:val="center"/>
          </w:tcPr>
          <w:p w14:paraId="77E7E526">
            <w:r>
              <w:rPr>
                <w:rFonts w:hint="eastAsia"/>
              </w:rPr>
              <w:t>部门预算绩效管理制度建设情况，包含制度建设、职能配置、分行业的指标体系建设等。</w:t>
            </w:r>
          </w:p>
        </w:tc>
        <w:tc>
          <w:tcPr>
            <w:tcW w:w="833" w:type="pct"/>
            <w:vAlign w:val="center"/>
          </w:tcPr>
          <w:p w14:paraId="6278AA61">
            <w:r>
              <w:rPr>
                <w:rFonts w:hint="eastAsia"/>
              </w:rPr>
              <w:t>全面预算管理相关制度</w:t>
            </w:r>
          </w:p>
        </w:tc>
        <w:tc>
          <w:tcPr>
            <w:tcW w:w="335" w:type="pct"/>
            <w:vAlign w:val="center"/>
          </w:tcPr>
          <w:p w14:paraId="4E635F28">
            <w:r>
              <w:rPr>
                <w:rFonts w:hint="eastAsia"/>
              </w:rPr>
              <w:t>建设</w:t>
            </w:r>
          </w:p>
        </w:tc>
        <w:tc>
          <w:tcPr>
            <w:tcW w:w="404" w:type="pct"/>
            <w:vAlign w:val="center"/>
          </w:tcPr>
          <w:p w14:paraId="788AB2EB">
            <w:r>
              <w:rPr>
                <w:rFonts w:hint="eastAsia"/>
              </w:rPr>
              <w:t>建设</w:t>
            </w:r>
          </w:p>
        </w:tc>
        <w:tc>
          <w:tcPr>
            <w:tcW w:w="337" w:type="pct"/>
            <w:vAlign w:val="center"/>
          </w:tcPr>
          <w:p w14:paraId="483BC484">
            <w:r>
              <w:rPr>
                <w:rFonts w:hint="eastAsia"/>
              </w:rPr>
              <w:t>1</w:t>
            </w:r>
          </w:p>
        </w:tc>
        <w:tc>
          <w:tcPr>
            <w:tcW w:w="406" w:type="pct"/>
            <w:vAlign w:val="center"/>
          </w:tcPr>
          <w:p w14:paraId="0FD7D490">
            <w:r>
              <w:rPr>
                <w:rFonts w:hint="eastAsia"/>
              </w:rPr>
              <w:t>1</w:t>
            </w:r>
          </w:p>
        </w:tc>
      </w:tr>
      <w:tr w14:paraId="2ED8AE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406DB0AE">
            <w:pPr>
              <w:jc w:val="center"/>
            </w:pPr>
          </w:p>
        </w:tc>
        <w:tc>
          <w:tcPr>
            <w:tcW w:w="485" w:type="pct"/>
            <w:vMerge w:val="continue"/>
            <w:vAlign w:val="center"/>
          </w:tcPr>
          <w:p w14:paraId="265DED94">
            <w:pPr>
              <w:jc w:val="center"/>
            </w:pPr>
          </w:p>
        </w:tc>
        <w:tc>
          <w:tcPr>
            <w:tcW w:w="609" w:type="pct"/>
            <w:vAlign w:val="center"/>
          </w:tcPr>
          <w:p w14:paraId="646878AD">
            <w:pPr>
              <w:jc w:val="center"/>
            </w:pPr>
            <w:r>
              <w:rPr>
                <w:rFonts w:hint="eastAsia"/>
              </w:rPr>
              <w:t>工作开展情况</w:t>
            </w:r>
          </w:p>
        </w:tc>
        <w:tc>
          <w:tcPr>
            <w:tcW w:w="1135" w:type="pct"/>
            <w:vAlign w:val="center"/>
          </w:tcPr>
          <w:p w14:paraId="345A0798">
            <w:r>
              <w:rPr>
                <w:rFonts w:hint="eastAsia"/>
              </w:rPr>
              <w:t>部门预算绩效管理执行情况，包含事前评估、目标管理、跟踪评价、自评价和整改落实。</w:t>
            </w:r>
          </w:p>
        </w:tc>
        <w:tc>
          <w:tcPr>
            <w:tcW w:w="833" w:type="pct"/>
            <w:vAlign w:val="center"/>
          </w:tcPr>
          <w:p w14:paraId="09C902B3">
            <w:r>
              <w:rPr>
                <w:rFonts w:hint="eastAsia"/>
              </w:rPr>
              <w:t>部门绩效整体评价</w:t>
            </w:r>
          </w:p>
        </w:tc>
        <w:tc>
          <w:tcPr>
            <w:tcW w:w="335" w:type="pct"/>
            <w:vAlign w:val="center"/>
          </w:tcPr>
          <w:p w14:paraId="6ADFD3C7">
            <w:r>
              <w:rPr>
                <w:rFonts w:hint="eastAsia"/>
              </w:rPr>
              <w:t>执行</w:t>
            </w:r>
          </w:p>
          <w:p w14:paraId="1FC026C9">
            <w:r>
              <w:rPr>
                <w:rFonts w:hint="eastAsia"/>
              </w:rPr>
              <w:t>落实</w:t>
            </w:r>
          </w:p>
        </w:tc>
        <w:tc>
          <w:tcPr>
            <w:tcW w:w="404" w:type="pct"/>
            <w:vAlign w:val="center"/>
          </w:tcPr>
          <w:p w14:paraId="5DF750F4">
            <w:r>
              <w:rPr>
                <w:rFonts w:hint="eastAsia"/>
              </w:rPr>
              <w:t>执行</w:t>
            </w:r>
          </w:p>
          <w:p w14:paraId="3FDA1B3B">
            <w:r>
              <w:rPr>
                <w:rFonts w:hint="eastAsia"/>
              </w:rPr>
              <w:t>落实</w:t>
            </w:r>
          </w:p>
        </w:tc>
        <w:tc>
          <w:tcPr>
            <w:tcW w:w="337" w:type="pct"/>
            <w:vAlign w:val="center"/>
          </w:tcPr>
          <w:p w14:paraId="5FDBB3EE">
            <w:r>
              <w:rPr>
                <w:rFonts w:hint="eastAsia"/>
              </w:rPr>
              <w:t>1</w:t>
            </w:r>
          </w:p>
        </w:tc>
        <w:tc>
          <w:tcPr>
            <w:tcW w:w="406" w:type="pct"/>
            <w:vAlign w:val="center"/>
          </w:tcPr>
          <w:p w14:paraId="3ABD1537">
            <w:r>
              <w:rPr>
                <w:rFonts w:hint="eastAsia"/>
              </w:rPr>
              <w:t>1</w:t>
            </w:r>
          </w:p>
        </w:tc>
      </w:tr>
      <w:tr w14:paraId="745502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1F5F3454">
            <w:pPr>
              <w:jc w:val="center"/>
            </w:pPr>
          </w:p>
        </w:tc>
        <w:tc>
          <w:tcPr>
            <w:tcW w:w="485" w:type="pct"/>
            <w:vMerge w:val="continue"/>
            <w:vAlign w:val="center"/>
          </w:tcPr>
          <w:p w14:paraId="5029BC8B">
            <w:pPr>
              <w:jc w:val="center"/>
            </w:pPr>
          </w:p>
        </w:tc>
        <w:tc>
          <w:tcPr>
            <w:tcW w:w="609" w:type="pct"/>
            <w:vAlign w:val="center"/>
          </w:tcPr>
          <w:p w14:paraId="66ED4C24">
            <w:pPr>
              <w:jc w:val="center"/>
            </w:pPr>
            <w:r>
              <w:rPr>
                <w:rFonts w:hint="eastAsia"/>
              </w:rPr>
              <w:t>绩效信息公开</w:t>
            </w:r>
          </w:p>
        </w:tc>
        <w:tc>
          <w:tcPr>
            <w:tcW w:w="1135" w:type="pct"/>
            <w:vAlign w:val="center"/>
          </w:tcPr>
          <w:p w14:paraId="65EF1C6D">
            <w:r>
              <w:rPr>
                <w:rFonts w:hint="eastAsia"/>
              </w:rPr>
              <w:t>绩效信息是否按照规定的内容和时限在“双平台”进行公开。</w:t>
            </w:r>
          </w:p>
        </w:tc>
        <w:tc>
          <w:tcPr>
            <w:tcW w:w="833" w:type="pct"/>
            <w:vAlign w:val="center"/>
          </w:tcPr>
          <w:p w14:paraId="6FB7B915">
            <w:r>
              <w:rPr>
                <w:rFonts w:hint="eastAsia"/>
              </w:rPr>
              <w:t>绩效信息公开的截图</w:t>
            </w:r>
          </w:p>
        </w:tc>
        <w:tc>
          <w:tcPr>
            <w:tcW w:w="335" w:type="pct"/>
            <w:vAlign w:val="center"/>
          </w:tcPr>
          <w:p w14:paraId="3C3ADC1F">
            <w:r>
              <w:rPr>
                <w:rFonts w:hint="eastAsia"/>
              </w:rPr>
              <w:t>符合</w:t>
            </w:r>
          </w:p>
        </w:tc>
        <w:tc>
          <w:tcPr>
            <w:tcW w:w="404" w:type="pct"/>
            <w:vAlign w:val="center"/>
          </w:tcPr>
          <w:p w14:paraId="43BD82E8">
            <w:r>
              <w:rPr>
                <w:rFonts w:hint="eastAsia"/>
              </w:rPr>
              <w:t>符合</w:t>
            </w:r>
          </w:p>
        </w:tc>
        <w:tc>
          <w:tcPr>
            <w:tcW w:w="337" w:type="pct"/>
            <w:vAlign w:val="center"/>
          </w:tcPr>
          <w:p w14:paraId="0BCC8287">
            <w:r>
              <w:rPr>
                <w:rFonts w:hint="eastAsia"/>
              </w:rPr>
              <w:t>1</w:t>
            </w:r>
          </w:p>
        </w:tc>
        <w:tc>
          <w:tcPr>
            <w:tcW w:w="406" w:type="pct"/>
            <w:vAlign w:val="center"/>
          </w:tcPr>
          <w:p w14:paraId="16F3705E">
            <w:r>
              <w:rPr>
                <w:rFonts w:hint="eastAsia"/>
              </w:rPr>
              <w:t>1</w:t>
            </w:r>
          </w:p>
        </w:tc>
      </w:tr>
      <w:tr w14:paraId="205E5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restart"/>
            <w:vAlign w:val="center"/>
          </w:tcPr>
          <w:p w14:paraId="7376C4C3">
            <w:pPr>
              <w:jc w:val="center"/>
            </w:pPr>
            <w:r>
              <w:rPr>
                <w:rFonts w:hint="eastAsia"/>
              </w:rPr>
              <w:t>部门履职</w:t>
            </w:r>
          </w:p>
          <w:p w14:paraId="37C2980F">
            <w:pPr>
              <w:jc w:val="center"/>
            </w:pPr>
            <w:r>
              <w:rPr>
                <w:rFonts w:hint="eastAsia"/>
              </w:rPr>
              <w:t>（30分）(可选方式1：重点工作完成情况)</w:t>
            </w:r>
          </w:p>
        </w:tc>
        <w:tc>
          <w:tcPr>
            <w:tcW w:w="485" w:type="pct"/>
            <w:vAlign w:val="center"/>
          </w:tcPr>
          <w:p w14:paraId="6E8F5A8E">
            <w:pPr>
              <w:jc w:val="center"/>
            </w:pPr>
            <w:r>
              <w:rPr>
                <w:rFonts w:hint="eastAsia"/>
              </w:rPr>
              <w:t>重点工作数量完成率</w:t>
            </w:r>
          </w:p>
        </w:tc>
        <w:tc>
          <w:tcPr>
            <w:tcW w:w="609" w:type="pct"/>
            <w:vAlign w:val="center"/>
          </w:tcPr>
          <w:p w14:paraId="5FE97E0E">
            <w:pPr>
              <w:jc w:val="center"/>
            </w:pPr>
            <w:r>
              <w:rPr>
                <w:rFonts w:hint="eastAsia"/>
              </w:rPr>
              <w:t>*****</w:t>
            </w:r>
          </w:p>
        </w:tc>
        <w:tc>
          <w:tcPr>
            <w:tcW w:w="1135" w:type="pct"/>
            <w:vAlign w:val="center"/>
          </w:tcPr>
          <w:p w14:paraId="7F49894E">
            <w:r>
              <w:rPr>
                <w:rFonts w:hint="eastAsia"/>
              </w:rPr>
              <w:t>重点工作是否完成。可采用计划标准、同类城市标准等作为标杆值。</w:t>
            </w:r>
          </w:p>
        </w:tc>
        <w:tc>
          <w:tcPr>
            <w:tcW w:w="833" w:type="pct"/>
            <w:vAlign w:val="center"/>
          </w:tcPr>
          <w:p w14:paraId="59C094E6">
            <w:r>
              <w:rPr>
                <w:rFonts w:hint="eastAsia"/>
              </w:rPr>
              <w:t>医院相关工作总结</w:t>
            </w:r>
          </w:p>
        </w:tc>
        <w:tc>
          <w:tcPr>
            <w:tcW w:w="335" w:type="pct"/>
            <w:vAlign w:val="center"/>
          </w:tcPr>
          <w:p w14:paraId="1B36503B">
            <w:r>
              <w:rPr>
                <w:rFonts w:hint="eastAsia"/>
              </w:rPr>
              <w:t>100%</w:t>
            </w:r>
          </w:p>
        </w:tc>
        <w:tc>
          <w:tcPr>
            <w:tcW w:w="404" w:type="pct"/>
            <w:vAlign w:val="center"/>
          </w:tcPr>
          <w:p w14:paraId="1B7E118D">
            <w:r>
              <w:rPr>
                <w:rFonts w:hint="eastAsia"/>
              </w:rPr>
              <w:t>100%</w:t>
            </w:r>
          </w:p>
        </w:tc>
        <w:tc>
          <w:tcPr>
            <w:tcW w:w="337" w:type="pct"/>
            <w:vAlign w:val="center"/>
          </w:tcPr>
          <w:p w14:paraId="24F097A8">
            <w:r>
              <w:rPr>
                <w:rFonts w:hint="eastAsia"/>
              </w:rPr>
              <w:t>10</w:t>
            </w:r>
          </w:p>
        </w:tc>
        <w:tc>
          <w:tcPr>
            <w:tcW w:w="406" w:type="pct"/>
            <w:vAlign w:val="center"/>
          </w:tcPr>
          <w:p w14:paraId="53B30E80">
            <w:r>
              <w:rPr>
                <w:rFonts w:hint="eastAsia"/>
              </w:rPr>
              <w:t>10</w:t>
            </w:r>
          </w:p>
        </w:tc>
      </w:tr>
      <w:tr w14:paraId="6F7411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7224C68C">
            <w:pPr>
              <w:jc w:val="center"/>
            </w:pPr>
          </w:p>
        </w:tc>
        <w:tc>
          <w:tcPr>
            <w:tcW w:w="485" w:type="pct"/>
            <w:vAlign w:val="center"/>
          </w:tcPr>
          <w:p w14:paraId="3EAD6BA1">
            <w:pPr>
              <w:jc w:val="center"/>
            </w:pPr>
            <w:r>
              <w:rPr>
                <w:rFonts w:hint="eastAsia"/>
              </w:rPr>
              <w:t>重点工作质量达标率</w:t>
            </w:r>
          </w:p>
        </w:tc>
        <w:tc>
          <w:tcPr>
            <w:tcW w:w="609" w:type="pct"/>
            <w:vAlign w:val="center"/>
          </w:tcPr>
          <w:p w14:paraId="49129CAA">
            <w:pPr>
              <w:jc w:val="center"/>
            </w:pPr>
            <w:r>
              <w:rPr>
                <w:rFonts w:hint="eastAsia"/>
              </w:rPr>
              <w:t>*****</w:t>
            </w:r>
          </w:p>
        </w:tc>
        <w:tc>
          <w:tcPr>
            <w:tcW w:w="1135" w:type="pct"/>
            <w:vAlign w:val="center"/>
          </w:tcPr>
          <w:p w14:paraId="123E677E">
            <w:r>
              <w:rPr>
                <w:rFonts w:hint="eastAsia"/>
              </w:rPr>
              <w:t>重点工作完成质量如何。可采用计划标准、行业标准、同类城市标准等作为标杆值。</w:t>
            </w:r>
          </w:p>
        </w:tc>
        <w:tc>
          <w:tcPr>
            <w:tcW w:w="833" w:type="pct"/>
            <w:vAlign w:val="center"/>
          </w:tcPr>
          <w:p w14:paraId="11F611C6">
            <w:r>
              <w:rPr>
                <w:rFonts w:hint="eastAsia"/>
              </w:rPr>
              <w:t>医院相关工作总结与工作实践</w:t>
            </w:r>
          </w:p>
        </w:tc>
        <w:tc>
          <w:tcPr>
            <w:tcW w:w="335" w:type="pct"/>
            <w:vAlign w:val="center"/>
          </w:tcPr>
          <w:p w14:paraId="7FA7D62F">
            <w:r>
              <w:rPr>
                <w:rFonts w:hint="eastAsia"/>
              </w:rPr>
              <w:t>100%</w:t>
            </w:r>
          </w:p>
        </w:tc>
        <w:tc>
          <w:tcPr>
            <w:tcW w:w="404" w:type="pct"/>
            <w:vAlign w:val="center"/>
          </w:tcPr>
          <w:p w14:paraId="1787DEBB">
            <w:r>
              <w:rPr>
                <w:rFonts w:hint="eastAsia"/>
              </w:rPr>
              <w:t>100%</w:t>
            </w:r>
          </w:p>
        </w:tc>
        <w:tc>
          <w:tcPr>
            <w:tcW w:w="337" w:type="pct"/>
            <w:vAlign w:val="center"/>
          </w:tcPr>
          <w:p w14:paraId="6D814368">
            <w:r>
              <w:rPr>
                <w:rFonts w:hint="eastAsia"/>
              </w:rPr>
              <w:t>10</w:t>
            </w:r>
          </w:p>
        </w:tc>
        <w:tc>
          <w:tcPr>
            <w:tcW w:w="406" w:type="pct"/>
            <w:vAlign w:val="center"/>
          </w:tcPr>
          <w:p w14:paraId="0EAF9D16">
            <w:r>
              <w:rPr>
                <w:rFonts w:hint="eastAsia"/>
              </w:rPr>
              <w:t>10</w:t>
            </w:r>
          </w:p>
        </w:tc>
      </w:tr>
      <w:tr w14:paraId="48AF75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8" w:hRule="atLeast"/>
          <w:jc w:val="center"/>
        </w:trPr>
        <w:tc>
          <w:tcPr>
            <w:tcW w:w="452" w:type="pct"/>
            <w:vMerge w:val="continue"/>
            <w:vAlign w:val="center"/>
          </w:tcPr>
          <w:p w14:paraId="1602EC9A">
            <w:pPr>
              <w:jc w:val="center"/>
            </w:pPr>
          </w:p>
        </w:tc>
        <w:tc>
          <w:tcPr>
            <w:tcW w:w="485" w:type="pct"/>
            <w:vAlign w:val="center"/>
          </w:tcPr>
          <w:p w14:paraId="15A6C74D">
            <w:pPr>
              <w:jc w:val="center"/>
            </w:pPr>
            <w:r>
              <w:rPr>
                <w:rFonts w:hint="eastAsia"/>
              </w:rPr>
              <w:t>重点工作完成及时率</w:t>
            </w:r>
          </w:p>
        </w:tc>
        <w:tc>
          <w:tcPr>
            <w:tcW w:w="609" w:type="pct"/>
            <w:vAlign w:val="center"/>
          </w:tcPr>
          <w:p w14:paraId="2C4C5D17">
            <w:pPr>
              <w:jc w:val="center"/>
            </w:pPr>
            <w:r>
              <w:rPr>
                <w:rFonts w:hint="eastAsia"/>
              </w:rPr>
              <w:t>*****</w:t>
            </w:r>
          </w:p>
        </w:tc>
        <w:tc>
          <w:tcPr>
            <w:tcW w:w="1135" w:type="pct"/>
            <w:vAlign w:val="center"/>
          </w:tcPr>
          <w:p w14:paraId="0A1F76AA">
            <w:r>
              <w:rPr>
                <w:rFonts w:hint="eastAsia"/>
              </w:rPr>
              <w:t>重点工作是否按时完成。可采用计划标准、行业标准、历史标准等作为标杆值。</w:t>
            </w:r>
          </w:p>
        </w:tc>
        <w:tc>
          <w:tcPr>
            <w:tcW w:w="833" w:type="pct"/>
            <w:vAlign w:val="center"/>
          </w:tcPr>
          <w:p w14:paraId="79A7A0E6">
            <w:r>
              <w:rPr>
                <w:rFonts w:hint="eastAsia"/>
              </w:rPr>
              <w:t>医院相关工作总结与工作实践</w:t>
            </w:r>
          </w:p>
        </w:tc>
        <w:tc>
          <w:tcPr>
            <w:tcW w:w="335" w:type="pct"/>
            <w:vAlign w:val="center"/>
          </w:tcPr>
          <w:p w14:paraId="37BEAB66">
            <w:r>
              <w:rPr>
                <w:rFonts w:hint="eastAsia"/>
              </w:rPr>
              <w:t>100%</w:t>
            </w:r>
          </w:p>
        </w:tc>
        <w:tc>
          <w:tcPr>
            <w:tcW w:w="404" w:type="pct"/>
            <w:vAlign w:val="center"/>
          </w:tcPr>
          <w:p w14:paraId="022654F6">
            <w:r>
              <w:rPr>
                <w:rFonts w:hint="eastAsia"/>
              </w:rPr>
              <w:t>100%</w:t>
            </w:r>
          </w:p>
        </w:tc>
        <w:tc>
          <w:tcPr>
            <w:tcW w:w="337" w:type="pct"/>
            <w:vAlign w:val="center"/>
          </w:tcPr>
          <w:p w14:paraId="4C9F6E25">
            <w:r>
              <w:rPr>
                <w:rFonts w:hint="eastAsia"/>
              </w:rPr>
              <w:t>10</w:t>
            </w:r>
          </w:p>
        </w:tc>
        <w:tc>
          <w:tcPr>
            <w:tcW w:w="406" w:type="pct"/>
            <w:vAlign w:val="center"/>
          </w:tcPr>
          <w:p w14:paraId="4B4C922B">
            <w:r>
              <w:rPr>
                <w:rFonts w:hint="eastAsia"/>
              </w:rPr>
              <w:t>10</w:t>
            </w:r>
          </w:p>
        </w:tc>
      </w:tr>
      <w:tr w14:paraId="0DF55E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2" w:hRule="atLeast"/>
          <w:jc w:val="center"/>
        </w:trPr>
        <w:tc>
          <w:tcPr>
            <w:tcW w:w="452" w:type="pct"/>
            <w:vMerge w:val="restart"/>
            <w:vAlign w:val="center"/>
          </w:tcPr>
          <w:p w14:paraId="44C0B5C6">
            <w:pPr>
              <w:jc w:val="center"/>
            </w:pPr>
            <w:r>
              <w:rPr>
                <w:rFonts w:hint="eastAsia"/>
              </w:rPr>
              <w:t>履职绩效</w:t>
            </w:r>
          </w:p>
          <w:p w14:paraId="61DA2C6D">
            <w:pPr>
              <w:jc w:val="center"/>
            </w:pPr>
            <w:r>
              <w:rPr>
                <w:rFonts w:hint="eastAsia"/>
              </w:rPr>
              <w:t>（30分）</w:t>
            </w:r>
          </w:p>
        </w:tc>
        <w:tc>
          <w:tcPr>
            <w:tcW w:w="485" w:type="pct"/>
            <w:vMerge w:val="restart"/>
            <w:vAlign w:val="center"/>
          </w:tcPr>
          <w:p w14:paraId="1F0A1689">
            <w:pPr>
              <w:jc w:val="center"/>
            </w:pPr>
            <w:r>
              <w:t>经济效益</w:t>
            </w:r>
          </w:p>
        </w:tc>
        <w:tc>
          <w:tcPr>
            <w:tcW w:w="609" w:type="pct"/>
            <w:vAlign w:val="center"/>
          </w:tcPr>
          <w:p w14:paraId="18C6B66B">
            <w:pPr>
              <w:jc w:val="center"/>
            </w:pPr>
            <w:r>
              <w:rPr>
                <w:rFonts w:hint="eastAsia"/>
              </w:rPr>
              <w:t>收支结余</w:t>
            </w:r>
          </w:p>
        </w:tc>
        <w:tc>
          <w:tcPr>
            <w:tcW w:w="1135" w:type="pct"/>
            <w:vMerge w:val="restart"/>
            <w:vAlign w:val="center"/>
          </w:tcPr>
          <w:p w14:paraId="7ECA004D">
            <w:r>
              <w:rPr>
                <w:rFonts w:hint="eastAsia"/>
              </w:rPr>
              <w:t>履职带来的经济效益。可采用计划标准、行业标准、同类城市标准等作为标杆值。</w:t>
            </w:r>
          </w:p>
        </w:tc>
        <w:tc>
          <w:tcPr>
            <w:tcW w:w="833" w:type="pct"/>
            <w:vMerge w:val="restart"/>
            <w:vAlign w:val="center"/>
          </w:tcPr>
          <w:p w14:paraId="5FFCE11E">
            <w:r>
              <w:rPr>
                <w:rFonts w:hint="eastAsia"/>
              </w:rPr>
              <w:t>医院相关运营分析</w:t>
            </w:r>
          </w:p>
        </w:tc>
        <w:tc>
          <w:tcPr>
            <w:tcW w:w="335" w:type="pct"/>
            <w:vAlign w:val="center"/>
          </w:tcPr>
          <w:p w14:paraId="47EFA18E">
            <w:r>
              <w:rPr>
                <w:rFonts w:hint="eastAsia"/>
              </w:rPr>
              <w:t>盈余</w:t>
            </w:r>
          </w:p>
        </w:tc>
        <w:tc>
          <w:tcPr>
            <w:tcW w:w="404" w:type="pct"/>
            <w:vAlign w:val="center"/>
          </w:tcPr>
          <w:p w14:paraId="43867C74">
            <w:r>
              <w:rPr>
                <w:rFonts w:hint="eastAsia"/>
              </w:rPr>
              <w:t>盈余</w:t>
            </w:r>
          </w:p>
        </w:tc>
        <w:tc>
          <w:tcPr>
            <w:tcW w:w="337" w:type="pct"/>
            <w:vAlign w:val="center"/>
          </w:tcPr>
          <w:p w14:paraId="2D591A42">
            <w:r>
              <w:rPr>
                <w:rFonts w:hint="eastAsia"/>
              </w:rPr>
              <w:t>3</w:t>
            </w:r>
          </w:p>
        </w:tc>
        <w:tc>
          <w:tcPr>
            <w:tcW w:w="406" w:type="pct"/>
            <w:vAlign w:val="center"/>
          </w:tcPr>
          <w:p w14:paraId="6E08F0CD">
            <w:r>
              <w:rPr>
                <w:rFonts w:hint="eastAsia"/>
              </w:rPr>
              <w:t>3</w:t>
            </w:r>
          </w:p>
        </w:tc>
      </w:tr>
      <w:tr w14:paraId="6F1F6D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jc w:val="center"/>
        </w:trPr>
        <w:tc>
          <w:tcPr>
            <w:tcW w:w="452" w:type="pct"/>
            <w:vMerge w:val="continue"/>
            <w:vAlign w:val="center"/>
          </w:tcPr>
          <w:p w14:paraId="02BFE2EA">
            <w:pPr>
              <w:jc w:val="center"/>
            </w:pPr>
          </w:p>
        </w:tc>
        <w:tc>
          <w:tcPr>
            <w:tcW w:w="485" w:type="pct"/>
            <w:vMerge w:val="continue"/>
            <w:vAlign w:val="center"/>
          </w:tcPr>
          <w:p w14:paraId="1EE34C11">
            <w:pPr>
              <w:jc w:val="center"/>
            </w:pPr>
          </w:p>
        </w:tc>
        <w:tc>
          <w:tcPr>
            <w:tcW w:w="609" w:type="pct"/>
            <w:vAlign w:val="center"/>
          </w:tcPr>
          <w:p w14:paraId="73B76523">
            <w:pPr>
              <w:jc w:val="center"/>
            </w:pPr>
            <w:r>
              <w:rPr>
                <w:rFonts w:hint="eastAsia"/>
              </w:rPr>
              <w:t>医疗收入增长率</w:t>
            </w:r>
          </w:p>
        </w:tc>
        <w:tc>
          <w:tcPr>
            <w:tcW w:w="1135" w:type="pct"/>
            <w:vMerge w:val="continue"/>
            <w:vAlign w:val="center"/>
          </w:tcPr>
          <w:p w14:paraId="5B8ED65F"/>
        </w:tc>
        <w:tc>
          <w:tcPr>
            <w:tcW w:w="833" w:type="pct"/>
            <w:vMerge w:val="continue"/>
            <w:vAlign w:val="center"/>
          </w:tcPr>
          <w:p w14:paraId="68120B26"/>
        </w:tc>
        <w:tc>
          <w:tcPr>
            <w:tcW w:w="335" w:type="pct"/>
            <w:vAlign w:val="center"/>
          </w:tcPr>
          <w:p w14:paraId="2BBB439E">
            <w:pPr>
              <w:rPr>
                <w:rFonts w:ascii="宋体" w:hAnsi="宋体" w:eastAsia="宋体" w:cs="宋体"/>
              </w:rPr>
            </w:pPr>
            <w:r>
              <w:rPr>
                <w:rFonts w:hint="eastAsia" w:ascii="宋体" w:hAnsi="宋体" w:eastAsia="宋体" w:cs="宋体"/>
              </w:rPr>
              <w:t>≧5%</w:t>
            </w:r>
          </w:p>
        </w:tc>
        <w:tc>
          <w:tcPr>
            <w:tcW w:w="404" w:type="pct"/>
            <w:vAlign w:val="center"/>
          </w:tcPr>
          <w:p w14:paraId="7458321B">
            <w:r>
              <w:rPr>
                <w:rFonts w:hint="eastAsia"/>
              </w:rPr>
              <w:t>8.57%</w:t>
            </w:r>
          </w:p>
        </w:tc>
        <w:tc>
          <w:tcPr>
            <w:tcW w:w="337" w:type="pct"/>
            <w:vAlign w:val="center"/>
          </w:tcPr>
          <w:p w14:paraId="44F854DA">
            <w:r>
              <w:rPr>
                <w:rFonts w:hint="eastAsia"/>
              </w:rPr>
              <w:t>4</w:t>
            </w:r>
          </w:p>
        </w:tc>
        <w:tc>
          <w:tcPr>
            <w:tcW w:w="406" w:type="pct"/>
            <w:vAlign w:val="center"/>
          </w:tcPr>
          <w:p w14:paraId="33C8D543">
            <w:r>
              <w:rPr>
                <w:rFonts w:hint="eastAsia"/>
              </w:rPr>
              <w:t>4</w:t>
            </w:r>
          </w:p>
        </w:tc>
      </w:tr>
      <w:tr w14:paraId="238B7D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452" w:type="pct"/>
            <w:vMerge w:val="continue"/>
            <w:vAlign w:val="center"/>
          </w:tcPr>
          <w:p w14:paraId="4F0893E3">
            <w:pPr>
              <w:jc w:val="center"/>
            </w:pPr>
          </w:p>
        </w:tc>
        <w:tc>
          <w:tcPr>
            <w:tcW w:w="485" w:type="pct"/>
            <w:vMerge w:val="continue"/>
            <w:vAlign w:val="center"/>
          </w:tcPr>
          <w:p w14:paraId="7BA226C6">
            <w:pPr>
              <w:jc w:val="center"/>
            </w:pPr>
          </w:p>
        </w:tc>
        <w:tc>
          <w:tcPr>
            <w:tcW w:w="609" w:type="pct"/>
            <w:vAlign w:val="center"/>
          </w:tcPr>
          <w:p w14:paraId="042BD394">
            <w:pPr>
              <w:jc w:val="center"/>
            </w:pPr>
            <w:r>
              <w:rPr>
                <w:rFonts w:hint="eastAsia"/>
              </w:rPr>
              <w:t>资产负债率</w:t>
            </w:r>
          </w:p>
        </w:tc>
        <w:tc>
          <w:tcPr>
            <w:tcW w:w="1135" w:type="pct"/>
            <w:vMerge w:val="continue"/>
            <w:vAlign w:val="center"/>
          </w:tcPr>
          <w:p w14:paraId="0A8A1DF2"/>
        </w:tc>
        <w:tc>
          <w:tcPr>
            <w:tcW w:w="833" w:type="pct"/>
            <w:vMerge w:val="continue"/>
            <w:vAlign w:val="center"/>
          </w:tcPr>
          <w:p w14:paraId="281320B4"/>
        </w:tc>
        <w:tc>
          <w:tcPr>
            <w:tcW w:w="335" w:type="pct"/>
            <w:vAlign w:val="center"/>
          </w:tcPr>
          <w:p w14:paraId="6DCF5076">
            <w:pPr>
              <w:rPr>
                <w:rFonts w:eastAsia="宋体"/>
              </w:rPr>
            </w:pPr>
            <w:r>
              <w:rPr>
                <w:rFonts w:hint="eastAsia" w:ascii="宋体" w:hAnsi="宋体" w:eastAsia="宋体" w:cs="宋体"/>
              </w:rPr>
              <w:t>≦</w:t>
            </w:r>
            <w:r>
              <w:rPr>
                <w:rFonts w:hint="eastAsia" w:eastAsia="宋体"/>
              </w:rPr>
              <w:t>50%</w:t>
            </w:r>
          </w:p>
        </w:tc>
        <w:tc>
          <w:tcPr>
            <w:tcW w:w="404" w:type="pct"/>
            <w:vAlign w:val="center"/>
          </w:tcPr>
          <w:p w14:paraId="21DFC385">
            <w:r>
              <w:rPr>
                <w:rFonts w:hint="eastAsia"/>
              </w:rPr>
              <w:t>8.87%</w:t>
            </w:r>
          </w:p>
        </w:tc>
        <w:tc>
          <w:tcPr>
            <w:tcW w:w="337" w:type="pct"/>
            <w:vAlign w:val="center"/>
          </w:tcPr>
          <w:p w14:paraId="1AECD15B">
            <w:r>
              <w:rPr>
                <w:rFonts w:hint="eastAsia"/>
              </w:rPr>
              <w:t>3</w:t>
            </w:r>
          </w:p>
        </w:tc>
        <w:tc>
          <w:tcPr>
            <w:tcW w:w="406" w:type="pct"/>
            <w:vAlign w:val="center"/>
          </w:tcPr>
          <w:p w14:paraId="418D319D">
            <w:r>
              <w:rPr>
                <w:rFonts w:hint="eastAsia"/>
              </w:rPr>
              <w:t>3</w:t>
            </w:r>
          </w:p>
        </w:tc>
      </w:tr>
      <w:tr w14:paraId="26EC2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 w:hRule="atLeast"/>
          <w:jc w:val="center"/>
        </w:trPr>
        <w:tc>
          <w:tcPr>
            <w:tcW w:w="452" w:type="pct"/>
            <w:vMerge w:val="continue"/>
            <w:vAlign w:val="center"/>
          </w:tcPr>
          <w:p w14:paraId="42DEF09A">
            <w:pPr>
              <w:jc w:val="center"/>
            </w:pPr>
          </w:p>
        </w:tc>
        <w:tc>
          <w:tcPr>
            <w:tcW w:w="485" w:type="pct"/>
            <w:vMerge w:val="restart"/>
            <w:vAlign w:val="center"/>
          </w:tcPr>
          <w:p w14:paraId="0AD8A706">
            <w:pPr>
              <w:jc w:val="center"/>
            </w:pPr>
            <w:r>
              <w:t>社会效益</w:t>
            </w:r>
          </w:p>
        </w:tc>
        <w:tc>
          <w:tcPr>
            <w:tcW w:w="609" w:type="pct"/>
            <w:vAlign w:val="center"/>
          </w:tcPr>
          <w:p w14:paraId="7122A953">
            <w:pPr>
              <w:jc w:val="center"/>
            </w:pPr>
            <w:r>
              <w:rPr>
                <w:rFonts w:hint="eastAsia"/>
              </w:rPr>
              <w:t>医联体建设</w:t>
            </w:r>
          </w:p>
        </w:tc>
        <w:tc>
          <w:tcPr>
            <w:tcW w:w="1135" w:type="pct"/>
            <w:vMerge w:val="restart"/>
            <w:vAlign w:val="center"/>
          </w:tcPr>
          <w:p w14:paraId="5CC7C25F">
            <w:r>
              <w:rPr>
                <w:rFonts w:hint="eastAsia"/>
              </w:rPr>
              <w:t>履职带来的社会效益。可采用计划标准、行业标准、同类城市标准等作为标杆值。</w:t>
            </w:r>
          </w:p>
        </w:tc>
        <w:tc>
          <w:tcPr>
            <w:tcW w:w="833" w:type="pct"/>
            <w:vMerge w:val="restart"/>
            <w:vAlign w:val="center"/>
          </w:tcPr>
          <w:p w14:paraId="3423EA31">
            <w:r>
              <w:rPr>
                <w:rFonts w:hint="eastAsia"/>
              </w:rPr>
              <w:t>有利于医疗资源布局、促进社会和谐发展</w:t>
            </w:r>
          </w:p>
        </w:tc>
        <w:tc>
          <w:tcPr>
            <w:tcW w:w="335" w:type="pct"/>
            <w:vAlign w:val="center"/>
          </w:tcPr>
          <w:p w14:paraId="31AB2B12">
            <w:r>
              <w:rPr>
                <w:rFonts w:hint="eastAsia"/>
              </w:rPr>
              <w:t>有利</w:t>
            </w:r>
          </w:p>
          <w:p w14:paraId="5F7E1B5B">
            <w:r>
              <w:rPr>
                <w:rFonts w:hint="eastAsia"/>
              </w:rPr>
              <w:t>促进</w:t>
            </w:r>
          </w:p>
        </w:tc>
        <w:tc>
          <w:tcPr>
            <w:tcW w:w="404" w:type="pct"/>
            <w:vAlign w:val="center"/>
          </w:tcPr>
          <w:p w14:paraId="0513A50A">
            <w:r>
              <w:rPr>
                <w:rFonts w:hint="eastAsia"/>
              </w:rPr>
              <w:t>有利</w:t>
            </w:r>
          </w:p>
          <w:p w14:paraId="19895147">
            <w:r>
              <w:rPr>
                <w:rFonts w:hint="eastAsia"/>
              </w:rPr>
              <w:t>促进</w:t>
            </w:r>
          </w:p>
        </w:tc>
        <w:tc>
          <w:tcPr>
            <w:tcW w:w="337" w:type="pct"/>
            <w:vAlign w:val="center"/>
          </w:tcPr>
          <w:p w14:paraId="234DF283">
            <w:r>
              <w:rPr>
                <w:rFonts w:hint="eastAsia"/>
              </w:rPr>
              <w:t>5</w:t>
            </w:r>
          </w:p>
        </w:tc>
        <w:tc>
          <w:tcPr>
            <w:tcW w:w="406" w:type="pct"/>
            <w:vAlign w:val="center"/>
          </w:tcPr>
          <w:p w14:paraId="4CDE822C">
            <w:r>
              <w:rPr>
                <w:rFonts w:hint="eastAsia"/>
              </w:rPr>
              <w:t>5</w:t>
            </w:r>
          </w:p>
        </w:tc>
      </w:tr>
      <w:tr w14:paraId="33D3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6" w:hRule="atLeast"/>
          <w:jc w:val="center"/>
        </w:trPr>
        <w:tc>
          <w:tcPr>
            <w:tcW w:w="452" w:type="pct"/>
            <w:vMerge w:val="continue"/>
            <w:vAlign w:val="center"/>
          </w:tcPr>
          <w:p w14:paraId="5F7511BA">
            <w:pPr>
              <w:jc w:val="center"/>
            </w:pPr>
          </w:p>
        </w:tc>
        <w:tc>
          <w:tcPr>
            <w:tcW w:w="485" w:type="pct"/>
            <w:vMerge w:val="continue"/>
            <w:vAlign w:val="center"/>
          </w:tcPr>
          <w:p w14:paraId="0F1E4447">
            <w:pPr>
              <w:jc w:val="center"/>
            </w:pPr>
          </w:p>
        </w:tc>
        <w:tc>
          <w:tcPr>
            <w:tcW w:w="609" w:type="pct"/>
            <w:vAlign w:val="center"/>
          </w:tcPr>
          <w:p w14:paraId="3DDE487A">
            <w:pPr>
              <w:jc w:val="center"/>
            </w:pPr>
            <w:r>
              <w:rPr>
                <w:rFonts w:hint="eastAsia"/>
              </w:rPr>
              <w:t>对医疗服务水平的改善或提高程度</w:t>
            </w:r>
          </w:p>
        </w:tc>
        <w:tc>
          <w:tcPr>
            <w:tcW w:w="1135" w:type="pct"/>
            <w:vMerge w:val="continue"/>
            <w:vAlign w:val="center"/>
          </w:tcPr>
          <w:p w14:paraId="39B8D7A1"/>
        </w:tc>
        <w:tc>
          <w:tcPr>
            <w:tcW w:w="833" w:type="pct"/>
            <w:vMerge w:val="continue"/>
            <w:vAlign w:val="center"/>
          </w:tcPr>
          <w:p w14:paraId="5DC913EA"/>
        </w:tc>
        <w:tc>
          <w:tcPr>
            <w:tcW w:w="335" w:type="pct"/>
            <w:vAlign w:val="center"/>
          </w:tcPr>
          <w:p w14:paraId="4DC5C811">
            <w:r>
              <w:rPr>
                <w:rFonts w:hint="eastAsia"/>
              </w:rPr>
              <w:t>较高</w:t>
            </w:r>
          </w:p>
        </w:tc>
        <w:tc>
          <w:tcPr>
            <w:tcW w:w="404" w:type="pct"/>
            <w:vAlign w:val="center"/>
          </w:tcPr>
          <w:p w14:paraId="6E0DC0D2">
            <w:r>
              <w:rPr>
                <w:rFonts w:hint="eastAsia"/>
              </w:rPr>
              <w:t>较高</w:t>
            </w:r>
          </w:p>
        </w:tc>
        <w:tc>
          <w:tcPr>
            <w:tcW w:w="337" w:type="pct"/>
            <w:vAlign w:val="center"/>
          </w:tcPr>
          <w:p w14:paraId="439354B3">
            <w:r>
              <w:rPr>
                <w:rFonts w:hint="eastAsia"/>
              </w:rPr>
              <w:t>5</w:t>
            </w:r>
          </w:p>
        </w:tc>
        <w:tc>
          <w:tcPr>
            <w:tcW w:w="406" w:type="pct"/>
            <w:vAlign w:val="center"/>
          </w:tcPr>
          <w:p w14:paraId="118F916D">
            <w:r>
              <w:rPr>
                <w:rFonts w:hint="eastAsia"/>
              </w:rPr>
              <w:t>5</w:t>
            </w:r>
          </w:p>
        </w:tc>
      </w:tr>
      <w:tr w14:paraId="507C53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52" w:type="pct"/>
            <w:vMerge w:val="continue"/>
            <w:vAlign w:val="center"/>
          </w:tcPr>
          <w:p w14:paraId="32EA010E">
            <w:pPr>
              <w:jc w:val="center"/>
            </w:pPr>
          </w:p>
        </w:tc>
        <w:tc>
          <w:tcPr>
            <w:tcW w:w="485" w:type="pct"/>
            <w:vAlign w:val="center"/>
          </w:tcPr>
          <w:p w14:paraId="2BBB43B3">
            <w:pPr>
              <w:jc w:val="center"/>
            </w:pPr>
            <w:r>
              <w:t>生态效益</w:t>
            </w:r>
          </w:p>
        </w:tc>
        <w:tc>
          <w:tcPr>
            <w:tcW w:w="609" w:type="pct"/>
            <w:vAlign w:val="center"/>
          </w:tcPr>
          <w:p w14:paraId="467D2860">
            <w:pPr>
              <w:jc w:val="center"/>
            </w:pPr>
            <w:r>
              <w:rPr>
                <w:rFonts w:hint="eastAsia"/>
              </w:rPr>
              <w:t>*****</w:t>
            </w:r>
          </w:p>
        </w:tc>
        <w:tc>
          <w:tcPr>
            <w:tcW w:w="1135" w:type="pct"/>
            <w:vAlign w:val="center"/>
          </w:tcPr>
          <w:p w14:paraId="16AC3242">
            <w:r>
              <w:rPr>
                <w:rFonts w:hint="eastAsia"/>
              </w:rPr>
              <w:t>履职带来的生态效益。可采用计划标准、行业标准、同类城市标准等作为标杆值。</w:t>
            </w:r>
          </w:p>
        </w:tc>
        <w:tc>
          <w:tcPr>
            <w:tcW w:w="833" w:type="pct"/>
            <w:vAlign w:val="center"/>
          </w:tcPr>
          <w:p w14:paraId="59B020CC">
            <w:r>
              <w:rPr>
                <w:rFonts w:hint="eastAsia"/>
              </w:rPr>
              <w:t>各种环评、相关单位的检测报告</w:t>
            </w:r>
          </w:p>
        </w:tc>
        <w:tc>
          <w:tcPr>
            <w:tcW w:w="335" w:type="pct"/>
            <w:vAlign w:val="center"/>
          </w:tcPr>
          <w:p w14:paraId="44689752">
            <w:r>
              <w:rPr>
                <w:rFonts w:hint="eastAsia"/>
              </w:rPr>
              <w:t>显著</w:t>
            </w:r>
          </w:p>
        </w:tc>
        <w:tc>
          <w:tcPr>
            <w:tcW w:w="404" w:type="pct"/>
            <w:vAlign w:val="center"/>
          </w:tcPr>
          <w:p w14:paraId="04ADD61D">
            <w:r>
              <w:rPr>
                <w:rFonts w:hint="eastAsia"/>
              </w:rPr>
              <w:t>显著</w:t>
            </w:r>
          </w:p>
        </w:tc>
        <w:tc>
          <w:tcPr>
            <w:tcW w:w="337" w:type="pct"/>
            <w:vAlign w:val="center"/>
          </w:tcPr>
          <w:p w14:paraId="0313EFD9">
            <w:r>
              <w:rPr>
                <w:rFonts w:hint="eastAsia"/>
              </w:rPr>
              <w:t>5</w:t>
            </w:r>
          </w:p>
        </w:tc>
        <w:tc>
          <w:tcPr>
            <w:tcW w:w="406" w:type="pct"/>
            <w:vAlign w:val="center"/>
          </w:tcPr>
          <w:p w14:paraId="39091934">
            <w:r>
              <w:rPr>
                <w:rFonts w:hint="eastAsia"/>
              </w:rPr>
              <w:t>5</w:t>
            </w:r>
          </w:p>
        </w:tc>
      </w:tr>
      <w:tr w14:paraId="775608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5" w:hRule="atLeast"/>
          <w:jc w:val="center"/>
        </w:trPr>
        <w:tc>
          <w:tcPr>
            <w:tcW w:w="452" w:type="pct"/>
            <w:vMerge w:val="continue"/>
            <w:vAlign w:val="center"/>
          </w:tcPr>
          <w:p w14:paraId="7D2C4C57">
            <w:pPr>
              <w:jc w:val="center"/>
            </w:pPr>
          </w:p>
        </w:tc>
        <w:tc>
          <w:tcPr>
            <w:tcW w:w="485" w:type="pct"/>
            <w:vAlign w:val="center"/>
          </w:tcPr>
          <w:p w14:paraId="456C2EA4">
            <w:pPr>
              <w:jc w:val="center"/>
            </w:pPr>
            <w:r>
              <w:t>满意度</w:t>
            </w:r>
          </w:p>
        </w:tc>
        <w:tc>
          <w:tcPr>
            <w:tcW w:w="609" w:type="pct"/>
            <w:vAlign w:val="center"/>
          </w:tcPr>
          <w:p w14:paraId="19D0CB3E">
            <w:pPr>
              <w:jc w:val="center"/>
            </w:pPr>
            <w:r>
              <w:rPr>
                <w:rFonts w:hint="eastAsia"/>
              </w:rPr>
              <w:t>****</w:t>
            </w:r>
          </w:p>
        </w:tc>
        <w:tc>
          <w:tcPr>
            <w:tcW w:w="1135" w:type="pct"/>
            <w:vAlign w:val="center"/>
          </w:tcPr>
          <w:p w14:paraId="2EC7FECA">
            <w:r>
              <w:rPr>
                <w:rFonts w:hint="eastAsia"/>
              </w:rPr>
              <w:t>包含服务对象（可选）、管理对象（可选）、间接受益对象（可选）等满意度情况。</w:t>
            </w:r>
          </w:p>
        </w:tc>
        <w:tc>
          <w:tcPr>
            <w:tcW w:w="833" w:type="pct"/>
            <w:vAlign w:val="center"/>
          </w:tcPr>
          <w:p w14:paraId="241AEFD8">
            <w:r>
              <w:rPr>
                <w:rFonts w:hint="eastAsia"/>
              </w:rPr>
              <w:t>第三方患者满意度评价</w:t>
            </w:r>
          </w:p>
        </w:tc>
        <w:tc>
          <w:tcPr>
            <w:tcW w:w="335" w:type="pct"/>
            <w:vAlign w:val="center"/>
          </w:tcPr>
          <w:p w14:paraId="0A41ECED">
            <w:r>
              <w:rPr>
                <w:rFonts w:hint="eastAsia"/>
              </w:rPr>
              <w:t>高</w:t>
            </w:r>
          </w:p>
        </w:tc>
        <w:tc>
          <w:tcPr>
            <w:tcW w:w="404" w:type="pct"/>
            <w:vAlign w:val="center"/>
          </w:tcPr>
          <w:p w14:paraId="0549C1FC">
            <w:r>
              <w:rPr>
                <w:rFonts w:hint="eastAsia"/>
              </w:rPr>
              <w:t>高</w:t>
            </w:r>
          </w:p>
        </w:tc>
        <w:tc>
          <w:tcPr>
            <w:tcW w:w="337" w:type="pct"/>
            <w:vAlign w:val="center"/>
          </w:tcPr>
          <w:p w14:paraId="69F18B95">
            <w:r>
              <w:rPr>
                <w:rFonts w:hint="eastAsia"/>
              </w:rPr>
              <w:t>5</w:t>
            </w:r>
          </w:p>
        </w:tc>
        <w:tc>
          <w:tcPr>
            <w:tcW w:w="406" w:type="pct"/>
            <w:vAlign w:val="center"/>
          </w:tcPr>
          <w:p w14:paraId="03B84557">
            <w:r>
              <w:rPr>
                <w:rFonts w:hint="eastAsia"/>
              </w:rPr>
              <w:t>5</w:t>
            </w:r>
          </w:p>
        </w:tc>
      </w:tr>
      <w:tr w14:paraId="0C07CF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8" w:hRule="atLeast"/>
          <w:jc w:val="center"/>
        </w:trPr>
        <w:tc>
          <w:tcPr>
            <w:tcW w:w="452" w:type="pct"/>
            <w:vMerge w:val="restart"/>
            <w:vAlign w:val="center"/>
          </w:tcPr>
          <w:p w14:paraId="5A647C59">
            <w:pPr>
              <w:jc w:val="center"/>
            </w:pPr>
            <w:r>
              <w:rPr>
                <w:rFonts w:hint="eastAsia"/>
              </w:rPr>
              <w:t>可持续发展能力</w:t>
            </w:r>
          </w:p>
          <w:p w14:paraId="2C156F6D">
            <w:pPr>
              <w:jc w:val="center"/>
            </w:pPr>
            <w:r>
              <w:rPr>
                <w:rFonts w:hint="eastAsia"/>
              </w:rPr>
              <w:t>（5分）</w:t>
            </w:r>
          </w:p>
        </w:tc>
        <w:tc>
          <w:tcPr>
            <w:tcW w:w="485" w:type="pct"/>
            <w:vAlign w:val="center"/>
          </w:tcPr>
          <w:p w14:paraId="6AAFDB28">
            <w:pPr>
              <w:jc w:val="center"/>
            </w:pPr>
            <w:r>
              <w:rPr>
                <w:rFonts w:hint="eastAsia"/>
              </w:rPr>
              <w:t>信息化建设情况（可选）</w:t>
            </w:r>
          </w:p>
        </w:tc>
        <w:tc>
          <w:tcPr>
            <w:tcW w:w="609" w:type="pct"/>
            <w:vAlign w:val="center"/>
          </w:tcPr>
          <w:p w14:paraId="15FC3F31">
            <w:pPr>
              <w:jc w:val="center"/>
            </w:pPr>
          </w:p>
        </w:tc>
        <w:tc>
          <w:tcPr>
            <w:tcW w:w="1135" w:type="pct"/>
            <w:vAlign w:val="center"/>
          </w:tcPr>
          <w:p w14:paraId="37D0FEEF">
            <w:r>
              <w:rPr>
                <w:rFonts w:hint="eastAsia"/>
              </w:rPr>
              <w:t>办公流程、业务开展等是否能通过部门的信息系统实现。</w:t>
            </w:r>
          </w:p>
        </w:tc>
        <w:tc>
          <w:tcPr>
            <w:tcW w:w="833" w:type="pct"/>
            <w:vAlign w:val="center"/>
          </w:tcPr>
          <w:p w14:paraId="1989A470">
            <w:r>
              <w:rPr>
                <w:rFonts w:hint="eastAsia"/>
              </w:rPr>
              <w:t>相关办公自动化系统</w:t>
            </w:r>
          </w:p>
        </w:tc>
        <w:tc>
          <w:tcPr>
            <w:tcW w:w="335" w:type="pct"/>
            <w:vAlign w:val="center"/>
          </w:tcPr>
          <w:p w14:paraId="668DA1E4">
            <w:r>
              <w:rPr>
                <w:rFonts w:hint="eastAsia"/>
              </w:rPr>
              <w:t>通过</w:t>
            </w:r>
          </w:p>
        </w:tc>
        <w:tc>
          <w:tcPr>
            <w:tcW w:w="404" w:type="pct"/>
            <w:vAlign w:val="center"/>
          </w:tcPr>
          <w:p w14:paraId="0689ACA2">
            <w:r>
              <w:rPr>
                <w:rFonts w:hint="eastAsia"/>
              </w:rPr>
              <w:t>通过</w:t>
            </w:r>
          </w:p>
        </w:tc>
        <w:tc>
          <w:tcPr>
            <w:tcW w:w="337" w:type="pct"/>
            <w:vAlign w:val="center"/>
          </w:tcPr>
          <w:p w14:paraId="12E48E96">
            <w:r>
              <w:rPr>
                <w:rFonts w:hint="eastAsia"/>
              </w:rPr>
              <w:t>2</w:t>
            </w:r>
          </w:p>
        </w:tc>
        <w:tc>
          <w:tcPr>
            <w:tcW w:w="406" w:type="pct"/>
            <w:vAlign w:val="center"/>
          </w:tcPr>
          <w:p w14:paraId="33E53305">
            <w:r>
              <w:rPr>
                <w:rFonts w:hint="eastAsia"/>
              </w:rPr>
              <w:t>2</w:t>
            </w:r>
          </w:p>
        </w:tc>
      </w:tr>
      <w:tr w14:paraId="3A7A98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5" w:hRule="atLeast"/>
          <w:jc w:val="center"/>
        </w:trPr>
        <w:tc>
          <w:tcPr>
            <w:tcW w:w="452" w:type="pct"/>
            <w:vMerge w:val="continue"/>
            <w:vAlign w:val="center"/>
          </w:tcPr>
          <w:p w14:paraId="24BD4A7D">
            <w:pPr>
              <w:jc w:val="center"/>
            </w:pPr>
          </w:p>
        </w:tc>
        <w:tc>
          <w:tcPr>
            <w:tcW w:w="485" w:type="pct"/>
            <w:vAlign w:val="center"/>
          </w:tcPr>
          <w:p w14:paraId="0E30E2E7">
            <w:pPr>
              <w:jc w:val="center"/>
            </w:pPr>
            <w:r>
              <w:rPr>
                <w:rFonts w:hint="eastAsia"/>
              </w:rPr>
              <w:t>人力资源建设情况（可选）</w:t>
            </w:r>
          </w:p>
        </w:tc>
        <w:tc>
          <w:tcPr>
            <w:tcW w:w="609" w:type="pct"/>
            <w:vAlign w:val="center"/>
          </w:tcPr>
          <w:p w14:paraId="57C87A58">
            <w:pPr>
              <w:jc w:val="center"/>
            </w:pPr>
          </w:p>
        </w:tc>
        <w:tc>
          <w:tcPr>
            <w:tcW w:w="1135" w:type="pct"/>
            <w:vAlign w:val="center"/>
          </w:tcPr>
          <w:p w14:paraId="29ADD1B4">
            <w:r>
              <w:rPr>
                <w:rFonts w:hint="eastAsia"/>
              </w:rPr>
              <w:t>是否着眼未来，制定了并开展了人才培养计划、人才选拔相关激励措施等。</w:t>
            </w:r>
          </w:p>
        </w:tc>
        <w:tc>
          <w:tcPr>
            <w:tcW w:w="833" w:type="pct"/>
            <w:vAlign w:val="center"/>
          </w:tcPr>
          <w:p w14:paraId="738153DC">
            <w:r>
              <w:rPr>
                <w:rFonts w:hint="eastAsia"/>
              </w:rPr>
              <w:t>医院科研管理、人才管理相关制度</w:t>
            </w:r>
          </w:p>
        </w:tc>
        <w:tc>
          <w:tcPr>
            <w:tcW w:w="335" w:type="pct"/>
            <w:vAlign w:val="center"/>
          </w:tcPr>
          <w:p w14:paraId="331ABE3B">
            <w:r>
              <w:rPr>
                <w:rFonts w:hint="eastAsia"/>
              </w:rPr>
              <w:t>制定</w:t>
            </w:r>
          </w:p>
        </w:tc>
        <w:tc>
          <w:tcPr>
            <w:tcW w:w="404" w:type="pct"/>
            <w:vAlign w:val="center"/>
          </w:tcPr>
          <w:p w14:paraId="50EC5A8D">
            <w:r>
              <w:rPr>
                <w:rFonts w:hint="eastAsia"/>
              </w:rPr>
              <w:t>制定</w:t>
            </w:r>
          </w:p>
        </w:tc>
        <w:tc>
          <w:tcPr>
            <w:tcW w:w="337" w:type="pct"/>
            <w:vAlign w:val="center"/>
          </w:tcPr>
          <w:p w14:paraId="53970AD4">
            <w:r>
              <w:rPr>
                <w:rFonts w:hint="eastAsia"/>
              </w:rPr>
              <w:t>2</w:t>
            </w:r>
          </w:p>
        </w:tc>
        <w:tc>
          <w:tcPr>
            <w:tcW w:w="406" w:type="pct"/>
            <w:vAlign w:val="center"/>
          </w:tcPr>
          <w:p w14:paraId="0B098B1B">
            <w:r>
              <w:rPr>
                <w:rFonts w:hint="eastAsia"/>
              </w:rPr>
              <w:t>2</w:t>
            </w:r>
          </w:p>
        </w:tc>
      </w:tr>
      <w:tr w14:paraId="729D3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jc w:val="center"/>
        </w:trPr>
        <w:tc>
          <w:tcPr>
            <w:tcW w:w="452" w:type="pct"/>
            <w:vMerge w:val="continue"/>
            <w:vAlign w:val="center"/>
          </w:tcPr>
          <w:p w14:paraId="19362809">
            <w:pPr>
              <w:jc w:val="center"/>
            </w:pPr>
          </w:p>
        </w:tc>
        <w:tc>
          <w:tcPr>
            <w:tcW w:w="485" w:type="pct"/>
            <w:vAlign w:val="center"/>
          </w:tcPr>
          <w:p w14:paraId="05DE2A13">
            <w:pPr>
              <w:jc w:val="center"/>
            </w:pPr>
            <w:r>
              <w:rPr>
                <w:rFonts w:hint="eastAsia"/>
              </w:rPr>
              <w:t>部门创新情况（可选）</w:t>
            </w:r>
          </w:p>
        </w:tc>
        <w:tc>
          <w:tcPr>
            <w:tcW w:w="609" w:type="pct"/>
            <w:vAlign w:val="center"/>
          </w:tcPr>
          <w:p w14:paraId="7F7A0592">
            <w:pPr>
              <w:jc w:val="center"/>
            </w:pPr>
          </w:p>
        </w:tc>
        <w:tc>
          <w:tcPr>
            <w:tcW w:w="1135" w:type="pct"/>
            <w:vAlign w:val="center"/>
          </w:tcPr>
          <w:p w14:paraId="49309E2C">
            <w:r>
              <w:rPr>
                <w:rFonts w:hint="eastAsia"/>
              </w:rPr>
              <w:t>是否通过制度创新、方法创新等方式不断提高履职能力。</w:t>
            </w:r>
          </w:p>
        </w:tc>
        <w:tc>
          <w:tcPr>
            <w:tcW w:w="833" w:type="pct"/>
            <w:vAlign w:val="center"/>
          </w:tcPr>
          <w:p w14:paraId="2CABF74C">
            <w:r>
              <w:rPr>
                <w:rFonts w:hint="eastAsia"/>
              </w:rPr>
              <w:t>医院相关管理创新的案例</w:t>
            </w:r>
          </w:p>
        </w:tc>
        <w:tc>
          <w:tcPr>
            <w:tcW w:w="335" w:type="pct"/>
            <w:vAlign w:val="center"/>
          </w:tcPr>
          <w:p w14:paraId="4FC8F7C8">
            <w:r>
              <w:rPr>
                <w:rFonts w:hint="eastAsia"/>
              </w:rPr>
              <w:t>通过</w:t>
            </w:r>
          </w:p>
        </w:tc>
        <w:tc>
          <w:tcPr>
            <w:tcW w:w="404" w:type="pct"/>
            <w:vAlign w:val="center"/>
          </w:tcPr>
          <w:p w14:paraId="0E74D445">
            <w:r>
              <w:rPr>
                <w:rFonts w:hint="eastAsia"/>
              </w:rPr>
              <w:t>通过</w:t>
            </w:r>
          </w:p>
        </w:tc>
        <w:tc>
          <w:tcPr>
            <w:tcW w:w="337" w:type="pct"/>
            <w:vAlign w:val="center"/>
          </w:tcPr>
          <w:p w14:paraId="49E2EC9A">
            <w:r>
              <w:rPr>
                <w:rFonts w:hint="eastAsia"/>
              </w:rPr>
              <w:t>1</w:t>
            </w:r>
          </w:p>
        </w:tc>
        <w:tc>
          <w:tcPr>
            <w:tcW w:w="406" w:type="pct"/>
            <w:vAlign w:val="center"/>
          </w:tcPr>
          <w:p w14:paraId="429DF5C8">
            <w:r>
              <w:rPr>
                <w:rFonts w:hint="eastAsia"/>
              </w:rPr>
              <w:t>1</w:t>
            </w:r>
          </w:p>
        </w:tc>
      </w:tr>
      <w:tr w14:paraId="59A1B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jc w:val="center"/>
        </w:trPr>
        <w:tc>
          <w:tcPr>
            <w:tcW w:w="452" w:type="pct"/>
            <w:vAlign w:val="center"/>
          </w:tcPr>
          <w:p w14:paraId="55610214">
            <w:pPr>
              <w:jc w:val="center"/>
            </w:pPr>
            <w:r>
              <w:rPr>
                <w:rFonts w:hint="eastAsia"/>
              </w:rPr>
              <w:t>加减分项</w:t>
            </w:r>
          </w:p>
        </w:tc>
        <w:tc>
          <w:tcPr>
            <w:tcW w:w="485" w:type="pct"/>
            <w:vAlign w:val="center"/>
          </w:tcPr>
          <w:p w14:paraId="066E8931">
            <w:pPr>
              <w:jc w:val="center"/>
            </w:pPr>
            <w:r>
              <w:rPr>
                <w:rFonts w:hint="eastAsia"/>
              </w:rPr>
              <w:t>加分项</w:t>
            </w:r>
          </w:p>
        </w:tc>
        <w:tc>
          <w:tcPr>
            <w:tcW w:w="609" w:type="pct"/>
            <w:vAlign w:val="center"/>
          </w:tcPr>
          <w:p w14:paraId="18BBF7D3">
            <w:pPr>
              <w:jc w:val="center"/>
            </w:pPr>
            <w:r>
              <w:rPr>
                <w:rFonts w:hint="eastAsia"/>
              </w:rPr>
              <w:t>部门（单位）受到国务院、省级、市级嘉奖</w:t>
            </w:r>
          </w:p>
        </w:tc>
        <w:tc>
          <w:tcPr>
            <w:tcW w:w="1135" w:type="pct"/>
            <w:vAlign w:val="center"/>
          </w:tcPr>
          <w:p w14:paraId="47774FC3">
            <w:r>
              <w:rPr>
                <w:rFonts w:hint="eastAsia"/>
              </w:rPr>
              <w:t>部门获得各级奖项。</w:t>
            </w:r>
          </w:p>
        </w:tc>
        <w:tc>
          <w:tcPr>
            <w:tcW w:w="833" w:type="pct"/>
            <w:vAlign w:val="center"/>
          </w:tcPr>
          <w:p w14:paraId="62CD429C">
            <w:r>
              <w:rPr>
                <w:rFonts w:hint="eastAsia"/>
              </w:rPr>
              <w:t>医院各项获奖情况</w:t>
            </w:r>
          </w:p>
        </w:tc>
        <w:tc>
          <w:tcPr>
            <w:tcW w:w="335" w:type="pct"/>
            <w:vAlign w:val="center"/>
          </w:tcPr>
          <w:p w14:paraId="35DB7916">
            <w:r>
              <w:rPr>
                <w:rFonts w:hint="eastAsia"/>
              </w:rPr>
              <w:t>具有</w:t>
            </w:r>
          </w:p>
        </w:tc>
        <w:tc>
          <w:tcPr>
            <w:tcW w:w="404" w:type="pct"/>
            <w:vAlign w:val="center"/>
          </w:tcPr>
          <w:p w14:paraId="1BED8210">
            <w:r>
              <w:rPr>
                <w:rFonts w:hint="eastAsia"/>
              </w:rPr>
              <w:t>具有</w:t>
            </w:r>
          </w:p>
        </w:tc>
        <w:tc>
          <w:tcPr>
            <w:tcW w:w="337" w:type="pct"/>
            <w:vAlign w:val="center"/>
          </w:tcPr>
          <w:p w14:paraId="30F67AFF">
            <w:r>
              <w:rPr>
                <w:rFonts w:hint="eastAsia"/>
              </w:rPr>
              <w:t>2</w:t>
            </w:r>
          </w:p>
        </w:tc>
        <w:tc>
          <w:tcPr>
            <w:tcW w:w="406" w:type="pct"/>
            <w:vAlign w:val="center"/>
          </w:tcPr>
          <w:p w14:paraId="56BC6AB2">
            <w:r>
              <w:rPr>
                <w:rFonts w:hint="eastAsia"/>
              </w:rPr>
              <w:t>2</w:t>
            </w:r>
          </w:p>
        </w:tc>
      </w:tr>
      <w:tr w14:paraId="43C6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3" w:hRule="atLeast"/>
          <w:jc w:val="center"/>
        </w:trPr>
        <w:tc>
          <w:tcPr>
            <w:tcW w:w="452" w:type="pct"/>
            <w:vAlign w:val="center"/>
          </w:tcPr>
          <w:p w14:paraId="734F61B3">
            <w:pPr>
              <w:jc w:val="center"/>
            </w:pPr>
          </w:p>
        </w:tc>
        <w:tc>
          <w:tcPr>
            <w:tcW w:w="485" w:type="pct"/>
            <w:vAlign w:val="center"/>
          </w:tcPr>
          <w:p w14:paraId="132DD4DA">
            <w:pPr>
              <w:jc w:val="center"/>
            </w:pPr>
            <w:r>
              <w:rPr>
                <w:rFonts w:hint="eastAsia"/>
              </w:rPr>
              <w:t>减分项</w:t>
            </w:r>
          </w:p>
        </w:tc>
        <w:tc>
          <w:tcPr>
            <w:tcW w:w="609" w:type="pct"/>
            <w:vAlign w:val="center"/>
          </w:tcPr>
          <w:p w14:paraId="28D5CC14">
            <w:pPr>
              <w:jc w:val="center"/>
            </w:pPr>
            <w:r>
              <w:rPr>
                <w:rFonts w:hint="eastAsia"/>
              </w:rPr>
              <w:t>部门（单位）或工作人员违法违纪</w:t>
            </w:r>
          </w:p>
        </w:tc>
        <w:tc>
          <w:tcPr>
            <w:tcW w:w="1135" w:type="pct"/>
            <w:vAlign w:val="center"/>
          </w:tcPr>
          <w:p w14:paraId="3350D3EE">
            <w:r>
              <w:rPr>
                <w:rFonts w:hint="eastAsia"/>
              </w:rPr>
              <w:t>部门工作人员因违法违纪而受到处理情况。</w:t>
            </w:r>
          </w:p>
        </w:tc>
        <w:tc>
          <w:tcPr>
            <w:tcW w:w="833" w:type="pct"/>
            <w:vAlign w:val="center"/>
          </w:tcPr>
          <w:p w14:paraId="3BF7F11E">
            <w:r>
              <w:rPr>
                <w:rFonts w:hint="eastAsia"/>
              </w:rPr>
              <w:t>医院相关违纪处理情况</w:t>
            </w:r>
          </w:p>
        </w:tc>
        <w:tc>
          <w:tcPr>
            <w:tcW w:w="335" w:type="pct"/>
            <w:vAlign w:val="center"/>
          </w:tcPr>
          <w:p w14:paraId="096936B3">
            <w:r>
              <w:rPr>
                <w:rFonts w:hint="eastAsia"/>
              </w:rPr>
              <w:t>无</w:t>
            </w:r>
          </w:p>
        </w:tc>
        <w:tc>
          <w:tcPr>
            <w:tcW w:w="404" w:type="pct"/>
            <w:vAlign w:val="center"/>
          </w:tcPr>
          <w:p w14:paraId="52424803">
            <w:r>
              <w:rPr>
                <w:rFonts w:hint="eastAsia"/>
              </w:rPr>
              <w:t>有</w:t>
            </w:r>
          </w:p>
        </w:tc>
        <w:tc>
          <w:tcPr>
            <w:tcW w:w="337" w:type="pct"/>
            <w:vAlign w:val="center"/>
          </w:tcPr>
          <w:p w14:paraId="3CDF7053">
            <w:r>
              <w:rPr>
                <w:rFonts w:hint="eastAsia"/>
              </w:rPr>
              <w:t>0</w:t>
            </w:r>
          </w:p>
        </w:tc>
        <w:tc>
          <w:tcPr>
            <w:tcW w:w="406" w:type="pct"/>
            <w:vAlign w:val="center"/>
          </w:tcPr>
          <w:p w14:paraId="68843210">
            <w:r>
              <w:rPr>
                <w:rFonts w:hint="eastAsia"/>
              </w:rPr>
              <w:t>-1</w:t>
            </w:r>
          </w:p>
        </w:tc>
      </w:tr>
    </w:tbl>
    <w:p w14:paraId="20E03953">
      <w:pPr>
        <w:spacing w:line="560" w:lineRule="exact"/>
        <w:rPr>
          <w:rFonts w:hint="eastAsia" w:ascii="仿宋_GB2312" w:hAnsi="FZHTK--GBK1-0" w:eastAsia="仿宋_GB2312" w:cs="宋体"/>
          <w:color w:val="000000"/>
          <w:kern w:val="0"/>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FZHTK--GBK1-0">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9056807"/>
    </w:sdtPr>
    <w:sdtContent>
      <w:p w14:paraId="285DCE2F">
        <w:pPr>
          <w:pStyle w:val="4"/>
          <w:jc w:val="center"/>
        </w:pPr>
        <w:r>
          <w:fldChar w:fldCharType="begin"/>
        </w:r>
        <w:r>
          <w:instrText xml:space="preserve">PAGE   \* MERGEFORMAT</w:instrText>
        </w:r>
        <w:r>
          <w:fldChar w:fldCharType="separate"/>
        </w:r>
        <w:r>
          <w:rPr>
            <w:lang w:val="zh-CN"/>
          </w:rPr>
          <w:t>43</w:t>
        </w:r>
        <w:r>
          <w:fldChar w:fldCharType="end"/>
        </w:r>
      </w:p>
    </w:sdtContent>
  </w:sdt>
  <w:p w14:paraId="4ED10F7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DDD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70AB2"/>
    <w:rsid w:val="00031F27"/>
    <w:rsid w:val="000335B7"/>
    <w:rsid w:val="00033A0D"/>
    <w:rsid w:val="00043F49"/>
    <w:rsid w:val="000659A3"/>
    <w:rsid w:val="0008631B"/>
    <w:rsid w:val="00086C89"/>
    <w:rsid w:val="000A68E8"/>
    <w:rsid w:val="000D73C1"/>
    <w:rsid w:val="000E6A05"/>
    <w:rsid w:val="00106177"/>
    <w:rsid w:val="00115688"/>
    <w:rsid w:val="00165D89"/>
    <w:rsid w:val="00174E7A"/>
    <w:rsid w:val="00191FA8"/>
    <w:rsid w:val="001D6254"/>
    <w:rsid w:val="002232C4"/>
    <w:rsid w:val="002619C4"/>
    <w:rsid w:val="002661BF"/>
    <w:rsid w:val="00270AB2"/>
    <w:rsid w:val="002910BA"/>
    <w:rsid w:val="002A3DB1"/>
    <w:rsid w:val="002C7075"/>
    <w:rsid w:val="002C7A10"/>
    <w:rsid w:val="00345574"/>
    <w:rsid w:val="003519AE"/>
    <w:rsid w:val="003602F3"/>
    <w:rsid w:val="00362576"/>
    <w:rsid w:val="00364535"/>
    <w:rsid w:val="0038479C"/>
    <w:rsid w:val="00391498"/>
    <w:rsid w:val="003A30B1"/>
    <w:rsid w:val="003A5663"/>
    <w:rsid w:val="003B658D"/>
    <w:rsid w:val="003D41AD"/>
    <w:rsid w:val="003E3914"/>
    <w:rsid w:val="00427DF7"/>
    <w:rsid w:val="004359FB"/>
    <w:rsid w:val="00462082"/>
    <w:rsid w:val="00465E76"/>
    <w:rsid w:val="00484866"/>
    <w:rsid w:val="0048515D"/>
    <w:rsid w:val="004853F2"/>
    <w:rsid w:val="00493DD4"/>
    <w:rsid w:val="004A6268"/>
    <w:rsid w:val="004D110A"/>
    <w:rsid w:val="004D39E1"/>
    <w:rsid w:val="004E4159"/>
    <w:rsid w:val="004F518A"/>
    <w:rsid w:val="004F5242"/>
    <w:rsid w:val="00504755"/>
    <w:rsid w:val="00506FA6"/>
    <w:rsid w:val="00534E73"/>
    <w:rsid w:val="00564386"/>
    <w:rsid w:val="00570879"/>
    <w:rsid w:val="00582CD4"/>
    <w:rsid w:val="005844C4"/>
    <w:rsid w:val="00585017"/>
    <w:rsid w:val="00586268"/>
    <w:rsid w:val="005959B6"/>
    <w:rsid w:val="005B1DBB"/>
    <w:rsid w:val="00636642"/>
    <w:rsid w:val="00645E52"/>
    <w:rsid w:val="006C115F"/>
    <w:rsid w:val="006D1D89"/>
    <w:rsid w:val="006E7193"/>
    <w:rsid w:val="006F2A51"/>
    <w:rsid w:val="0071082B"/>
    <w:rsid w:val="00752137"/>
    <w:rsid w:val="00780C6F"/>
    <w:rsid w:val="007A1C34"/>
    <w:rsid w:val="007B17B0"/>
    <w:rsid w:val="007B22A7"/>
    <w:rsid w:val="00816925"/>
    <w:rsid w:val="00835B63"/>
    <w:rsid w:val="00844087"/>
    <w:rsid w:val="00877EF2"/>
    <w:rsid w:val="00883BCC"/>
    <w:rsid w:val="00883C39"/>
    <w:rsid w:val="008B5E5F"/>
    <w:rsid w:val="008C0D0D"/>
    <w:rsid w:val="008C1F44"/>
    <w:rsid w:val="008D26A2"/>
    <w:rsid w:val="008E6760"/>
    <w:rsid w:val="008F6F3C"/>
    <w:rsid w:val="00932FFE"/>
    <w:rsid w:val="00933D79"/>
    <w:rsid w:val="00935208"/>
    <w:rsid w:val="0094457F"/>
    <w:rsid w:val="009452B0"/>
    <w:rsid w:val="00945A9A"/>
    <w:rsid w:val="00947758"/>
    <w:rsid w:val="009478DF"/>
    <w:rsid w:val="00956A18"/>
    <w:rsid w:val="009675F4"/>
    <w:rsid w:val="00997379"/>
    <w:rsid w:val="009C5D5F"/>
    <w:rsid w:val="009D2FA3"/>
    <w:rsid w:val="009D555A"/>
    <w:rsid w:val="00A3470B"/>
    <w:rsid w:val="00A572F3"/>
    <w:rsid w:val="00A77118"/>
    <w:rsid w:val="00A815F9"/>
    <w:rsid w:val="00A827A7"/>
    <w:rsid w:val="00A84339"/>
    <w:rsid w:val="00A90AC3"/>
    <w:rsid w:val="00AA3ABF"/>
    <w:rsid w:val="00AA62CF"/>
    <w:rsid w:val="00AB5205"/>
    <w:rsid w:val="00AC44FD"/>
    <w:rsid w:val="00AE727D"/>
    <w:rsid w:val="00B04F98"/>
    <w:rsid w:val="00B12D4B"/>
    <w:rsid w:val="00B278B5"/>
    <w:rsid w:val="00B56897"/>
    <w:rsid w:val="00B66A45"/>
    <w:rsid w:val="00B774E5"/>
    <w:rsid w:val="00B8154F"/>
    <w:rsid w:val="00B86F42"/>
    <w:rsid w:val="00BF7C78"/>
    <w:rsid w:val="00C00B7A"/>
    <w:rsid w:val="00C02D7B"/>
    <w:rsid w:val="00C475CF"/>
    <w:rsid w:val="00C75C4C"/>
    <w:rsid w:val="00C77DB9"/>
    <w:rsid w:val="00C87F8B"/>
    <w:rsid w:val="00CB0B5F"/>
    <w:rsid w:val="00D173B6"/>
    <w:rsid w:val="00D312DA"/>
    <w:rsid w:val="00D44083"/>
    <w:rsid w:val="00D50AED"/>
    <w:rsid w:val="00D54127"/>
    <w:rsid w:val="00D57102"/>
    <w:rsid w:val="00D60AFA"/>
    <w:rsid w:val="00D93A49"/>
    <w:rsid w:val="00DA345D"/>
    <w:rsid w:val="00DC1353"/>
    <w:rsid w:val="00DC4A2D"/>
    <w:rsid w:val="00DC6A75"/>
    <w:rsid w:val="00DD2380"/>
    <w:rsid w:val="00DD392A"/>
    <w:rsid w:val="00DE31D0"/>
    <w:rsid w:val="00DE4030"/>
    <w:rsid w:val="00E173CA"/>
    <w:rsid w:val="00E20D45"/>
    <w:rsid w:val="00E22118"/>
    <w:rsid w:val="00E31FF3"/>
    <w:rsid w:val="00E47D61"/>
    <w:rsid w:val="00E5482B"/>
    <w:rsid w:val="00E64BA0"/>
    <w:rsid w:val="00E677D6"/>
    <w:rsid w:val="00E80630"/>
    <w:rsid w:val="00E96DB9"/>
    <w:rsid w:val="00EB7E60"/>
    <w:rsid w:val="00ED473A"/>
    <w:rsid w:val="00EE33B9"/>
    <w:rsid w:val="00F02B52"/>
    <w:rsid w:val="00FA0FC2"/>
    <w:rsid w:val="00FA2D52"/>
    <w:rsid w:val="00FB2993"/>
    <w:rsid w:val="00FC3E06"/>
    <w:rsid w:val="00FC7EC9"/>
    <w:rsid w:val="00FE7ED9"/>
    <w:rsid w:val="00FF1F63"/>
    <w:rsid w:val="00FF4FBB"/>
    <w:rsid w:val="02054F52"/>
    <w:rsid w:val="04C8049A"/>
    <w:rsid w:val="04F33787"/>
    <w:rsid w:val="068872E6"/>
    <w:rsid w:val="069D0714"/>
    <w:rsid w:val="086841EE"/>
    <w:rsid w:val="08A27FA6"/>
    <w:rsid w:val="090E672D"/>
    <w:rsid w:val="09514D26"/>
    <w:rsid w:val="09A154B2"/>
    <w:rsid w:val="0BE445BB"/>
    <w:rsid w:val="11E15093"/>
    <w:rsid w:val="12BD1E50"/>
    <w:rsid w:val="13A02D2C"/>
    <w:rsid w:val="14140094"/>
    <w:rsid w:val="15DA4B5B"/>
    <w:rsid w:val="18DA458E"/>
    <w:rsid w:val="1954439D"/>
    <w:rsid w:val="1AF0375E"/>
    <w:rsid w:val="1FD25F32"/>
    <w:rsid w:val="20E86A2A"/>
    <w:rsid w:val="22853819"/>
    <w:rsid w:val="22950445"/>
    <w:rsid w:val="2672406A"/>
    <w:rsid w:val="29686F9D"/>
    <w:rsid w:val="2CD02E78"/>
    <w:rsid w:val="2CD72763"/>
    <w:rsid w:val="2D8D3416"/>
    <w:rsid w:val="2FEE3B30"/>
    <w:rsid w:val="32C1058F"/>
    <w:rsid w:val="32E75E2A"/>
    <w:rsid w:val="34F56C4E"/>
    <w:rsid w:val="391C3858"/>
    <w:rsid w:val="3DF15A33"/>
    <w:rsid w:val="3FE132A9"/>
    <w:rsid w:val="41036525"/>
    <w:rsid w:val="44C34B3B"/>
    <w:rsid w:val="46AB7A83"/>
    <w:rsid w:val="49B80535"/>
    <w:rsid w:val="4B2629F1"/>
    <w:rsid w:val="4B971D44"/>
    <w:rsid w:val="4B983D0E"/>
    <w:rsid w:val="4D8C52FF"/>
    <w:rsid w:val="4E6B769B"/>
    <w:rsid w:val="51081672"/>
    <w:rsid w:val="516B06A5"/>
    <w:rsid w:val="52F96340"/>
    <w:rsid w:val="54E22B38"/>
    <w:rsid w:val="57633422"/>
    <w:rsid w:val="5B5639C9"/>
    <w:rsid w:val="5E9842F9"/>
    <w:rsid w:val="5ED4549B"/>
    <w:rsid w:val="60D233DE"/>
    <w:rsid w:val="60D809DC"/>
    <w:rsid w:val="635A5BE5"/>
    <w:rsid w:val="64741C77"/>
    <w:rsid w:val="6475079C"/>
    <w:rsid w:val="659155FE"/>
    <w:rsid w:val="65B55790"/>
    <w:rsid w:val="6A220F1A"/>
    <w:rsid w:val="6A7C5E95"/>
    <w:rsid w:val="6C8B40D0"/>
    <w:rsid w:val="6E9879FD"/>
    <w:rsid w:val="71B765E0"/>
    <w:rsid w:val="74A52E74"/>
    <w:rsid w:val="76010D8D"/>
    <w:rsid w:val="770E2F52"/>
    <w:rsid w:val="79107AE3"/>
    <w:rsid w:val="799533BB"/>
    <w:rsid w:val="7BC02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semiHidden/>
    <w:unhideWhenUsed/>
    <w:qFormat/>
    <w:uiPriority w:val="99"/>
    <w:pPr>
      <w:spacing w:after="120"/>
      <w:ind w:left="420" w:leftChars="200"/>
    </w:pPr>
  </w:style>
  <w:style w:type="paragraph" w:styleId="3">
    <w:name w:val="Balloon Text"/>
    <w:basedOn w:val="1"/>
    <w:link w:val="14"/>
    <w:semiHidden/>
    <w:unhideWhenUsed/>
    <w:qFormat/>
    <w:uiPriority w:val="99"/>
    <w:rPr>
      <w:sz w:val="18"/>
      <w:szCs w:val="18"/>
    </w:rPr>
  </w:style>
  <w:style w:type="paragraph" w:styleId="4">
    <w:name w:val="footer"/>
    <w:basedOn w:val="1"/>
    <w:next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2"/>
    <w:link w:val="17"/>
    <w:qFormat/>
    <w:uiPriority w:val="0"/>
    <w:pPr>
      <w:spacing w:after="0"/>
      <w:ind w:left="0" w:leftChars="0" w:firstLine="420" w:firstLineChars="200"/>
    </w:pPr>
    <w:rPr>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3"/>
    <w:semiHidden/>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正文文本缩进 Char"/>
    <w:basedOn w:val="10"/>
    <w:link w:val="2"/>
    <w:semiHidden/>
    <w:qFormat/>
    <w:uiPriority w:val="99"/>
  </w:style>
  <w:style w:type="character" w:customStyle="1" w:styleId="17">
    <w:name w:val="正文首行缩进 2 Char"/>
    <w:basedOn w:val="16"/>
    <w:link w:val="7"/>
    <w:qFormat/>
    <w:uiPriority w:val="0"/>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C4951-8CE4-4E4D-B6E9-ABCA5B97F8B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18330</Words>
  <Characters>19066</Characters>
  <Lines>183</Lines>
  <Paragraphs>51</Paragraphs>
  <TotalTime>8</TotalTime>
  <ScaleCrop>false</ScaleCrop>
  <LinksUpToDate>false</LinksUpToDate>
  <CharactersWithSpaces>19119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2020-06-03T06:46:00Z</dcterms:created>
  <dc:creator>NTKO</dc:creator>
  <cp:lastModifiedBy>"Somnus/__</cp:lastModifiedBy>
  <cp:lastPrinted>2021-11-15T02:50:00Z</cp:lastPrinted>
  <dcterms:modified xsi:type="dcterms:W3CDTF">2025-12-19T01:56:41Z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eyJoZGlkIjoiYmUwNjFhYTQ5ODU2ODZmMjRlNjBhOGQ2MTRiNDRiNGUiLCJ1c2VySWQiOiIyMjUyNTAyMTMifQ==</vt:lpwstr>
  </property>
  <property fmtid="{D5CDD505-2E9C-101B-9397-08002B2CF9AE}" pid="3" name="KSOProductBuildVer">
    <vt:lpwstr>2052-12.1.0.24034</vt:lpwstr>
  </property>
  <property fmtid="{D5CDD505-2E9C-101B-9397-08002B2CF9AE}" pid="4" name="ICV">
    <vt:lpwstr>ACEE590F17754ABBAF5265789D7200C1_12</vt:lpwstr>
  </property>
</Properties>
</file>