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63" w:rsidRDefault="00566010">
      <w:pPr>
        <w:pStyle w:val="Other1"/>
        <w:spacing w:after="240"/>
        <w:jc w:val="center"/>
        <w:rPr>
          <w:rFonts w:ascii="Times New Roman" w:eastAsiaTheme="minorEastAsia" w:hAnsi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Theme="minorEastAsia" w:hAnsi="Times New Roman" w:hint="eastAsia"/>
          <w:b/>
          <w:bCs/>
          <w:sz w:val="36"/>
          <w:szCs w:val="36"/>
          <w:lang w:val="en-US" w:eastAsia="zh-CN" w:bidi="ar-SA"/>
        </w:rPr>
        <w:t>2024</w:t>
      </w:r>
      <w:r>
        <w:rPr>
          <w:rFonts w:ascii="Times New Roman" w:eastAsiaTheme="minorEastAsia" w:hAnsiTheme="minorEastAsia" w:hint="eastAsia"/>
          <w:b/>
          <w:bCs/>
          <w:sz w:val="36"/>
          <w:szCs w:val="36"/>
          <w:lang w:val="en-US" w:eastAsia="zh-CN" w:bidi="ar-SA"/>
        </w:rPr>
        <w:t>年度南京市卫生健康委员会</w:t>
      </w:r>
      <w:r>
        <w:rPr>
          <w:rFonts w:ascii="Times New Roman" w:eastAsiaTheme="minorEastAsia" w:hAnsiTheme="minorEastAsia" w:hint="eastAsia"/>
          <w:b/>
          <w:bCs/>
          <w:sz w:val="36"/>
          <w:szCs w:val="36"/>
          <w:lang w:val="en-US" w:eastAsia="zh-CN" w:bidi="ar-SA"/>
        </w:rPr>
        <w:t>-</w:t>
      </w:r>
      <w:r>
        <w:rPr>
          <w:rFonts w:ascii="Times New Roman" w:eastAsiaTheme="minorEastAsia" w:hAnsiTheme="minorEastAsia" w:hint="eastAsia"/>
          <w:b/>
          <w:bCs/>
          <w:sz w:val="36"/>
          <w:szCs w:val="36"/>
          <w:lang w:val="en-US" w:eastAsia="zh-CN" w:bidi="ar-SA"/>
        </w:rPr>
        <w:t>南京市疾病预防控制中心整体绩效自评价报告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Theme="minorEastAsia" w:hAnsi="Times New Roman" w:cs="Times New Roman"/>
          <w:b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b/>
          <w:sz w:val="24"/>
          <w:lang w:val="en-US" w:eastAsia="zh-CN" w:bidi="ar-SA"/>
        </w:rPr>
        <w:t>一、单位概况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 w:cs="Times New Roman"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（一）单位基本情况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 w:cs="Times New Roman"/>
          <w:sz w:val="24"/>
          <w:lang w:val="en-US" w:eastAsia="zh-CN" w:bidi="ar-SA"/>
        </w:rPr>
      </w:pP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1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、主要职能。南京市疾病预防控制中心成立于</w:t>
      </w: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2001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年</w:t>
      </w: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6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月，是由原市卫生防疫站、市健康教育所、市结核病防治所等单位合并组建而成的公共卫生事业单位，</w:t>
      </w:r>
      <w:r>
        <w:rPr>
          <w:rFonts w:ascii="Times New Roman" w:eastAsiaTheme="minorEastAsia" w:hAnsi="Times New Roman" w:cs="Times New Roman"/>
          <w:sz w:val="24"/>
          <w:lang w:val="en-US" w:eastAsia="zh-CN" w:bidi="en-US"/>
        </w:rPr>
        <w:t>2012</w:t>
      </w:r>
      <w:r>
        <w:rPr>
          <w:rFonts w:ascii="Times New Roman" w:eastAsiaTheme="minorEastAsia" w:hAnsiTheme="minorEastAsia" w:cs="Times New Roman"/>
          <w:sz w:val="24"/>
          <w:lang w:val="en-US" w:eastAsia="zh-CN" w:bidi="en-US"/>
        </w:rPr>
        <w:t>年</w:t>
      </w:r>
      <w:r>
        <w:rPr>
          <w:rFonts w:ascii="Times New Roman" w:eastAsiaTheme="minorEastAsia" w:hAnsi="Times New Roman" w:cs="Times New Roman"/>
          <w:sz w:val="24"/>
          <w:lang w:val="en-US" w:eastAsia="zh-CN" w:bidi="en-US"/>
        </w:rPr>
        <w:t>3</w:t>
      </w:r>
      <w:r>
        <w:rPr>
          <w:rFonts w:ascii="Times New Roman" w:eastAsiaTheme="minorEastAsia" w:hAnsiTheme="minorEastAsia" w:cs="Times New Roman"/>
          <w:sz w:val="24"/>
          <w:lang w:val="en-US" w:eastAsia="zh-CN" w:bidi="en-US"/>
        </w:rPr>
        <w:t>月，职业病、皮肤病防治等职能从中心剥离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。主要从事突发公共卫生事件应急处置、疾病预防与控制、卫生检测与评价、健康教育与健康促进、技术指导与技术服务。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 w:cs="Times New Roman"/>
          <w:sz w:val="24"/>
          <w:lang w:val="en-US" w:eastAsia="zh-CN" w:bidi="ar-SA"/>
        </w:rPr>
      </w:pP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2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、机构情况。独立编制机构数和独立核算机构数均为</w:t>
      </w: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1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个。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 w:cs="Times New Roman"/>
          <w:sz w:val="24"/>
          <w:lang w:val="en-US" w:eastAsia="zh-CN" w:bidi="ar-SA"/>
        </w:rPr>
      </w:pP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3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、人员情况。事业编制人数</w:t>
      </w: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361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人。年末在职实有人数</w:t>
      </w: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318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人。离休人员年末数</w:t>
      </w: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2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人，部分在职人员到龄退休，退休人员年末数</w:t>
      </w: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226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人，遗属为</w:t>
      </w: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3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人。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Theme="minorEastAsia" w:cs="Times New Roman"/>
          <w:sz w:val="24"/>
          <w:lang w:val="en-US" w:eastAsia="zh-CN" w:bidi="ar-SA"/>
        </w:rPr>
      </w:pPr>
      <w:r>
        <w:rPr>
          <w:rFonts w:ascii="Times New Roman" w:eastAsiaTheme="minorEastAsia" w:hAnsi="Times New Roman" w:cs="Times New Roman" w:hint="eastAsia"/>
          <w:sz w:val="24"/>
          <w:lang w:val="en-US" w:eastAsia="zh-CN" w:bidi="ar-SA"/>
        </w:rPr>
        <w:t>4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、资产情况。截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至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2024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年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12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月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31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日，中心资产（账面实有数）合计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14358.97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万元，其中流动资产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6110.53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万元，占资产总额比例为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42.55%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；固定资产净值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6368.91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万元，占比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44.35%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；在建工程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1165.07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万元，占比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8.11%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；无形资产净值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714.46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万元，占比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4.99%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。固定资产中房屋及构筑物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4542.02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万元，占固定资产总额比例为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23.72%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；设备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14376.83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万元，占比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7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5.08%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，其中车辆一共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21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辆，价值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760.35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万元；单价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100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万元（含）以上的设备（不含车辆）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18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台，资产价值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3638.63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万元；家具用具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229.06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万元，占比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1.2%</w:t>
      </w: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 w:cs="Times New Roman"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（二）单位收支情况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 w:hint="eastAsia"/>
          <w:sz w:val="24"/>
        </w:rPr>
        <w:t>1</w:t>
      </w:r>
      <w:r>
        <w:rPr>
          <w:rFonts w:ascii="Times New Roman" w:eastAsiaTheme="minorEastAsia" w:hAnsiTheme="minorEastAsia" w:hint="eastAsia"/>
          <w:sz w:val="24"/>
        </w:rPr>
        <w:t>、收入支出预算安排情况。我单位为财政全额拨款事业单位，收入主要来源于财政预算拨款。</w:t>
      </w:r>
      <w:r>
        <w:rPr>
          <w:rFonts w:ascii="Times New Roman" w:eastAsiaTheme="minorEastAsia" w:hAnsi="Times New Roman" w:hint="eastAsia"/>
          <w:sz w:val="24"/>
        </w:rPr>
        <w:t>202</w:t>
      </w:r>
      <w:r>
        <w:rPr>
          <w:rFonts w:ascii="Times New Roman" w:eastAsiaTheme="minorEastAsia" w:hAnsi="Times New Roman" w:hint="eastAsia"/>
          <w:sz w:val="24"/>
        </w:rPr>
        <w:t>4</w:t>
      </w:r>
      <w:r>
        <w:rPr>
          <w:rFonts w:ascii="Times New Roman" w:eastAsiaTheme="minorEastAsia" w:hAnsiTheme="minorEastAsia" w:hint="eastAsia"/>
          <w:sz w:val="24"/>
        </w:rPr>
        <w:t>年初收入预算数（不含上年结转和结余）为</w:t>
      </w:r>
      <w:r>
        <w:rPr>
          <w:rFonts w:ascii="Times New Roman" w:eastAsiaTheme="minorEastAsia" w:hAnsi="Times New Roman" w:hint="eastAsia"/>
          <w:sz w:val="24"/>
        </w:rPr>
        <w:t>11,086.83</w:t>
      </w:r>
      <w:r>
        <w:rPr>
          <w:rFonts w:ascii="Times New Roman" w:eastAsiaTheme="minorEastAsia" w:hAnsiTheme="minorEastAsia" w:hint="eastAsia"/>
          <w:sz w:val="24"/>
        </w:rPr>
        <w:t>万元，收入支出预算安排情况具体金额见下表：</w:t>
      </w:r>
    </w:p>
    <w:p w:rsidR="00E93863" w:rsidRDefault="00566010">
      <w:pPr>
        <w:adjustRightInd w:val="0"/>
        <w:snapToGrid w:val="0"/>
        <w:ind w:firstLineChars="4200" w:firstLine="7560"/>
        <w:jc w:val="left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Theme="minorEastAsia" w:hint="eastAsia"/>
          <w:sz w:val="18"/>
          <w:szCs w:val="18"/>
        </w:rPr>
        <w:t>单位：元</w:t>
      </w:r>
    </w:p>
    <w:tbl>
      <w:tblPr>
        <w:tblW w:w="852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7"/>
        <w:gridCol w:w="2105"/>
      </w:tblGrid>
      <w:tr w:rsidR="00E93863">
        <w:trPr>
          <w:trHeight w:val="313"/>
        </w:trPr>
        <w:tc>
          <w:tcPr>
            <w:tcW w:w="6417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rFonts w:ascii="Times New Roman" w:eastAsiaTheme="minorEastAsia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rFonts w:ascii="Times New Roman" w:eastAsiaTheme="minorEastAsia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font51"/>
              </w:rPr>
              <w:t>202</w:t>
            </w:r>
            <w:r>
              <w:rPr>
                <w:rStyle w:val="font51"/>
                <w:rFonts w:hint="eastAsia"/>
              </w:rPr>
              <w:t>4</w:t>
            </w:r>
            <w:r>
              <w:rPr>
                <w:rStyle w:val="font61"/>
                <w:rFonts w:hint="default"/>
              </w:rPr>
              <w:t>年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rFonts w:ascii="Times New Roman" w:eastAsiaTheme="minorEastAsia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收入项目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rFonts w:ascii="Times New Roman" w:eastAsiaTheme="minorEastAsia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年初预算数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left"/>
              <w:textAlignment w:val="center"/>
              <w:rPr>
                <w:rFonts w:ascii="Times New Roman" w:eastAsiaTheme="minorEastAsia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一、一般公共预算财政拨款收入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right"/>
              <w:textAlignment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 11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868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00.00 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rFonts w:ascii="Times New Roman" w:eastAsiaTheme="minorEastAsia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支出项目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rFonts w:ascii="Times New Roman" w:eastAsiaTheme="minorEastAsia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年初预算数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left"/>
              <w:textAlignment w:val="center"/>
              <w:rPr>
                <w:rFonts w:ascii="Times New Roman" w:eastAsiaTheme="minorEastAsia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一、基本支出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right"/>
              <w:textAlignment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110,208,400.00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ind w:firstLineChars="100" w:firstLine="210"/>
              <w:jc w:val="left"/>
              <w:textAlignment w:val="center"/>
              <w:rPr>
                <w:rFonts w:ascii="Times New Roman" w:eastAsiaTheme="minorEastAsia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right"/>
              <w:textAlignment w:val="center"/>
            </w:pPr>
            <w:r>
              <w:rPr>
                <w:rFonts w:hint="eastAsia"/>
              </w:rPr>
              <w:t>100,286,600.00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ind w:firstLineChars="100" w:firstLine="210"/>
              <w:jc w:val="left"/>
              <w:textAlignment w:val="center"/>
              <w:rPr>
                <w:rFonts w:ascii="Times New Roman" w:eastAsiaTheme="minorEastAsia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日常公用经费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right"/>
              <w:textAlignment w:val="center"/>
            </w:pPr>
            <w:r>
              <w:rPr>
                <w:rFonts w:hint="eastAsia"/>
              </w:rPr>
              <w:t>9,921,800.00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left"/>
              <w:textAlignment w:val="center"/>
              <w:rPr>
                <w:rFonts w:ascii="Times New Roman" w:eastAsiaTheme="minorEastAsia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二、项目支出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widowControl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,9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.00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vAlign w:val="center"/>
          </w:tcPr>
          <w:p w:rsidR="00E93863" w:rsidRDefault="00566010">
            <w:pPr>
              <w:widowControl/>
              <w:ind w:firstLineChars="100" w:firstLine="210"/>
              <w:jc w:val="left"/>
              <w:textAlignment w:val="center"/>
              <w:rPr>
                <w:rFonts w:ascii="Times New Roman" w:hAnsi="Times New Roman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办公运行及信息化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jc w:val="righ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388,700.00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vAlign w:val="center"/>
          </w:tcPr>
          <w:p w:rsidR="00E93863" w:rsidRDefault="00566010">
            <w:pPr>
              <w:widowControl/>
              <w:ind w:firstLineChars="100" w:firstLine="210"/>
              <w:jc w:val="lef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Style w:val="font21"/>
                <w:rFonts w:eastAsiaTheme="minorEastAsia"/>
              </w:rPr>
              <w:t>艾滋病</w:t>
            </w:r>
            <w:r>
              <w:rPr>
                <w:rStyle w:val="font21"/>
                <w:rFonts w:eastAsiaTheme="minorEastAsia"/>
              </w:rPr>
              <w:t>VCT</w:t>
            </w:r>
            <w:r>
              <w:rPr>
                <w:rStyle w:val="font21"/>
                <w:rFonts w:eastAsiaTheme="minorEastAsia"/>
              </w:rPr>
              <w:t>门诊改造项目尾款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jc w:val="righ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0,000.00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vAlign w:val="center"/>
          </w:tcPr>
          <w:p w:rsidR="00E93863" w:rsidRDefault="00566010">
            <w:pPr>
              <w:widowControl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万管核酸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检测基地工程项目质保金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jc w:val="righ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71,200.00</w:t>
            </w:r>
          </w:p>
        </w:tc>
      </w:tr>
      <w:tr w:rsidR="00E93863">
        <w:trPr>
          <w:trHeight w:val="313"/>
        </w:trPr>
        <w:tc>
          <w:tcPr>
            <w:tcW w:w="6417" w:type="dxa"/>
            <w:shd w:val="clear" w:color="auto" w:fill="auto"/>
            <w:vAlign w:val="center"/>
          </w:tcPr>
          <w:p w:rsidR="00E93863" w:rsidRDefault="00566010">
            <w:pPr>
              <w:widowControl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配电房直家属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改造项目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E93863" w:rsidRDefault="00566010">
            <w:pPr>
              <w:jc w:val="righ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170,000.00</w:t>
            </w:r>
          </w:p>
        </w:tc>
      </w:tr>
    </w:tbl>
    <w:p w:rsidR="00E93863" w:rsidRDefault="00566010" w:rsidP="00E93863">
      <w:pPr>
        <w:adjustRightInd w:val="0"/>
        <w:snapToGrid w:val="0"/>
        <w:spacing w:beforeLines="50" w:line="360" w:lineRule="auto"/>
        <w:ind w:right="737"/>
        <w:jc w:val="center"/>
        <w:rPr>
          <w:rFonts w:ascii="Times New Roman" w:eastAsiaTheme="minorEastAsia" w:hAnsi="Times New Roman"/>
          <w:b/>
          <w:szCs w:val="21"/>
        </w:rPr>
      </w:pPr>
      <w:r>
        <w:rPr>
          <w:rFonts w:ascii="Times New Roman" w:eastAsiaTheme="minorEastAsia" w:hAnsiTheme="minorEastAsia" w:hint="eastAsia"/>
          <w:b/>
          <w:szCs w:val="21"/>
        </w:rPr>
        <w:t>表</w:t>
      </w:r>
      <w:r>
        <w:rPr>
          <w:rFonts w:ascii="Times New Roman" w:eastAsiaTheme="minorEastAsia" w:hAnsi="Times New Roman" w:hint="eastAsia"/>
          <w:b/>
          <w:szCs w:val="21"/>
        </w:rPr>
        <w:t xml:space="preserve">1.1  </w:t>
      </w:r>
      <w:r>
        <w:rPr>
          <w:rFonts w:ascii="Times New Roman" w:eastAsiaTheme="minorEastAsia" w:hAnsiTheme="minorEastAsia" w:hint="eastAsia"/>
          <w:b/>
          <w:szCs w:val="21"/>
        </w:rPr>
        <w:t>收入支出年初预算表</w:t>
      </w:r>
    </w:p>
    <w:p w:rsidR="00E93863" w:rsidRDefault="00566010" w:rsidP="00E93863">
      <w:pPr>
        <w:numPr>
          <w:ilvl w:val="0"/>
          <w:numId w:val="1"/>
        </w:numPr>
        <w:adjustRightInd w:val="0"/>
        <w:snapToGrid w:val="0"/>
        <w:spacing w:beforeLines="50" w:line="360" w:lineRule="auto"/>
        <w:ind w:firstLine="480"/>
        <w:jc w:val="left"/>
        <w:rPr>
          <w:rFonts w:ascii="Times New Roman" w:eastAsiaTheme="minorEastAsia" w:hAnsiTheme="minorEastAsia"/>
          <w:sz w:val="24"/>
        </w:rPr>
      </w:pPr>
      <w:r>
        <w:rPr>
          <w:rFonts w:ascii="Times New Roman" w:eastAsiaTheme="minorEastAsia" w:hAnsiTheme="minorEastAsia" w:hint="eastAsia"/>
          <w:sz w:val="24"/>
        </w:rPr>
        <w:t>财政拨款收入支出预算执行情况。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lang w:val="en-US" w:eastAsia="zh-CN"/>
        </w:rPr>
      </w:pPr>
      <w:r>
        <w:rPr>
          <w:rFonts w:ascii="Times New Roman" w:eastAsiaTheme="minorEastAsia" w:hAnsiTheme="minorEastAsia" w:hint="eastAsia"/>
          <w:sz w:val="24"/>
          <w:lang w:val="en-US" w:eastAsia="zh-CN"/>
        </w:rPr>
        <w:t>截至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2024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年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12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月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31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日，部门预算实际支出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10570.26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万元，执行进度为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95.34%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，其中基本支出实际支出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10510.57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万元，项目支出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59.69</w:t>
      </w:r>
      <w:r>
        <w:rPr>
          <w:rFonts w:ascii="Times New Roman" w:eastAsiaTheme="minorEastAsia" w:hAnsiTheme="minorEastAsia" w:hint="eastAsia"/>
          <w:sz w:val="24"/>
          <w:lang w:val="en-US" w:eastAsia="zh-CN"/>
        </w:rPr>
        <w:t>万元。</w:t>
      </w:r>
    </w:p>
    <w:p w:rsidR="00E93863" w:rsidRDefault="00566010">
      <w:pPr>
        <w:pStyle w:val="Other1"/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Theme="minorEastAsia" w:cs="Times New Roman"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单位绩效目标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Theme="minorEastAsia" w:cs="Times New Roman"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单位中长期目标：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Theme="minorEastAsia" w:cs="Times New Roman"/>
          <w:sz w:val="24"/>
          <w:lang w:val="en-US" w:eastAsia="zh-CN" w:bidi="ar-SA"/>
        </w:rPr>
      </w:pPr>
      <w:proofErr w:type="gramStart"/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市疾控中心</w:t>
      </w:r>
      <w:proofErr w:type="gramEnd"/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以习近平新时代中国特色社会主义思想为指引，落实新时代党的卫生与健康工作方针，牢牢把握高质量发展这个首要任务，创品牌、建标准、提首位，持续完善公共卫生体系建设、提升重大疫情防控能力和疾病预防控制水平，在稳步完成全年工作目标的基础上，围绕建设“全国一流，省内领先”</w:t>
      </w:r>
      <w:proofErr w:type="gramStart"/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疾控中心</w:t>
      </w:r>
      <w:proofErr w:type="gramEnd"/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的奋斗目标推动疾病防控事业高质量发展。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Theme="minorEastAsia" w:cs="Times New Roman"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单位年度目标是：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196" w:firstLine="470"/>
        <w:jc w:val="left"/>
        <w:rPr>
          <w:rFonts w:ascii="Times New Roman" w:eastAsiaTheme="minorEastAsia" w:hAnsi="Times New Roman"/>
          <w:bCs/>
          <w:sz w:val="24"/>
          <w:lang w:val="en-US" w:eastAsia="zh-CN"/>
        </w:rPr>
      </w:pPr>
      <w:r>
        <w:rPr>
          <w:rFonts w:ascii="Times New Roman" w:eastAsiaTheme="minorEastAsia" w:hAnsi="Times New Roman" w:hint="eastAsia"/>
          <w:bCs/>
          <w:sz w:val="24"/>
          <w:lang w:val="en-US" w:eastAsia="zh-CN"/>
        </w:rPr>
        <w:t>按照市委、市政府、市卫</w:t>
      </w:r>
      <w:proofErr w:type="gramStart"/>
      <w:r>
        <w:rPr>
          <w:rFonts w:ascii="Times New Roman" w:eastAsiaTheme="minorEastAsia" w:hAnsi="Times New Roman" w:hint="eastAsia"/>
          <w:bCs/>
          <w:sz w:val="24"/>
          <w:lang w:val="en-US" w:eastAsia="zh-CN"/>
        </w:rPr>
        <w:t>健委决策</w:t>
      </w:r>
      <w:proofErr w:type="gramEnd"/>
      <w:r>
        <w:rPr>
          <w:rFonts w:ascii="Times New Roman" w:eastAsiaTheme="minorEastAsia" w:hAnsi="Times New Roman" w:hint="eastAsia"/>
          <w:bCs/>
          <w:sz w:val="24"/>
          <w:lang w:val="en-US" w:eastAsia="zh-CN"/>
        </w:rPr>
        <w:t>部署的各项具体工作要求，坚持以人民健康为中心，以扎实的作风认真开展各项业务工作，有力有序，深入推进党风廉政建设，坚持全面从严治党，深化党员学习教育，严格落实安全生产、政务公开、信息报送等工作，按时完成市</w:t>
      </w:r>
      <w:proofErr w:type="gramStart"/>
      <w:r>
        <w:rPr>
          <w:rFonts w:ascii="Times New Roman" w:eastAsiaTheme="minorEastAsia" w:hAnsi="Times New Roman" w:hint="eastAsia"/>
          <w:bCs/>
          <w:sz w:val="24"/>
          <w:lang w:val="en-US" w:eastAsia="zh-CN"/>
        </w:rPr>
        <w:t>卫健委交办</w:t>
      </w:r>
      <w:proofErr w:type="gramEnd"/>
      <w:r>
        <w:rPr>
          <w:rFonts w:ascii="Times New Roman" w:eastAsiaTheme="minorEastAsia" w:hAnsi="Times New Roman" w:hint="eastAsia"/>
          <w:bCs/>
          <w:sz w:val="24"/>
          <w:lang w:val="en-US" w:eastAsia="zh-CN"/>
        </w:rPr>
        <w:t>的各项工作。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196" w:firstLine="472"/>
        <w:jc w:val="left"/>
        <w:rPr>
          <w:rFonts w:ascii="Times New Roman" w:eastAsiaTheme="minorEastAsia" w:hAnsiTheme="minorEastAsia" w:cs="Times New Roman"/>
          <w:b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b/>
          <w:sz w:val="24"/>
          <w:lang w:val="en-US" w:eastAsia="zh-CN" w:bidi="ar-SA"/>
        </w:rPr>
        <w:t>二、评价结论</w:t>
      </w:r>
    </w:p>
    <w:p w:rsidR="00E93863" w:rsidRDefault="00566010">
      <w:pPr>
        <w:pStyle w:val="a9"/>
        <w:spacing w:line="360" w:lineRule="auto"/>
        <w:ind w:firstLine="480"/>
        <w:rPr>
          <w:rFonts w:eastAsiaTheme="minorEastAsia" w:hAnsiTheme="minorEastAsia" w:cs="宋体"/>
          <w:bCs/>
          <w:kern w:val="2"/>
          <w:sz w:val="24"/>
          <w:szCs w:val="24"/>
          <w:lang w:val="zh-TW" w:bidi="zh-TW"/>
        </w:rPr>
      </w:pPr>
      <w:proofErr w:type="gramStart"/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本评价</w:t>
      </w:r>
      <w:proofErr w:type="gramEnd"/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对象为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202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en-US" w:bidi="zh-TW"/>
        </w:rPr>
        <w:t>4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年度南京市疾病预防控制中心部门整体绩效实现程度。评价以预算资金管理为主线，紧扣部门的中长期战略目标及年度目标，利用部门整体绩效指标评价体系，经综合评价打分，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202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en-US" w:bidi="zh-TW"/>
        </w:rPr>
        <w:t>4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年南京市疾病预防控制中心部门整体绩效得分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en-US" w:bidi="zh-TW"/>
        </w:rPr>
        <w:t>100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分。（具体评分情况详见附件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1</w:t>
      </w:r>
      <w:r>
        <w:rPr>
          <w:rFonts w:eastAsiaTheme="minorEastAsia" w:hAnsiTheme="minorEastAsia" w:cs="宋体" w:hint="eastAsia"/>
          <w:bCs/>
          <w:kern w:val="2"/>
          <w:sz w:val="24"/>
          <w:szCs w:val="24"/>
          <w:lang w:val="zh-TW" w:bidi="zh-TW"/>
        </w:rPr>
        <w:t>）。</w:t>
      </w:r>
    </w:p>
    <w:p w:rsidR="00E93863" w:rsidRDefault="00566010" w:rsidP="00E93863">
      <w:pPr>
        <w:pStyle w:val="Other1"/>
        <w:adjustRightInd w:val="0"/>
        <w:snapToGrid w:val="0"/>
        <w:spacing w:beforeLines="50" w:line="360" w:lineRule="auto"/>
        <w:ind w:firstLineChars="200" w:firstLine="482"/>
        <w:jc w:val="left"/>
        <w:rPr>
          <w:rFonts w:ascii="Times New Roman" w:eastAsiaTheme="minorEastAsia" w:hAnsiTheme="minorEastAsia" w:cs="Times New Roman"/>
          <w:b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b/>
          <w:sz w:val="24"/>
          <w:lang w:val="en-US" w:eastAsia="zh-CN" w:bidi="ar-SA"/>
        </w:rPr>
        <w:t>三、部门履职成效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 w:cs="Times New Roman"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（一）部门决策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Theme="minorEastAsia" w:hint="eastAsia"/>
          <w:sz w:val="24"/>
        </w:rPr>
        <w:t>中心有明确的办公会议事制度和</w:t>
      </w:r>
      <w:r>
        <w:rPr>
          <w:rFonts w:ascii="Times New Roman" w:eastAsiaTheme="minorEastAsia" w:hAnsiTheme="minorEastAsia" w:hint="eastAsia"/>
          <w:sz w:val="24"/>
        </w:rPr>
        <w:t>“三重一大”</w:t>
      </w:r>
      <w:r>
        <w:rPr>
          <w:rFonts w:ascii="Times New Roman" w:eastAsiaTheme="minorEastAsia" w:hAnsiTheme="minorEastAsia" w:hint="eastAsia"/>
          <w:sz w:val="24"/>
        </w:rPr>
        <w:t>决策制度，重大事项均经过办公会或者党委会讨论通过，相关科室负责人均参与讨论，决策机制科学、合理，</w:t>
      </w:r>
      <w:r>
        <w:rPr>
          <w:rFonts w:ascii="Times New Roman" w:eastAsiaTheme="minorEastAsia" w:hAnsiTheme="minorEastAsia" w:hint="eastAsia"/>
          <w:sz w:val="24"/>
        </w:rPr>
        <w:lastRenderedPageBreak/>
        <w:t>具有相对制衡性。中长期规划明确，与各部门职能高度</w:t>
      </w:r>
      <w:r>
        <w:rPr>
          <w:rFonts w:ascii="Times New Roman" w:eastAsiaTheme="minorEastAsia" w:hAnsiTheme="minorEastAsia" w:hint="eastAsia"/>
          <w:sz w:val="24"/>
        </w:rPr>
        <w:t>匹配</w:t>
      </w:r>
      <w:r>
        <w:rPr>
          <w:rFonts w:ascii="Times New Roman" w:eastAsiaTheme="minorEastAsia" w:hAnsiTheme="minorEastAsia" w:hint="eastAsia"/>
          <w:sz w:val="24"/>
        </w:rPr>
        <w:t>。且在印发前均通过广泛征求意见，经中心办公会讨论通过实施。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Theme="minorEastAsia" w:hint="eastAsia"/>
          <w:sz w:val="24"/>
        </w:rPr>
        <w:t>中心预算编制科学规范，各申请资金部门均能按照工作实际情况合理提出资金需求，并经中心领导集体讨论后纳入年度预算。各项重点工作均能及时提出工作思路与资金预算，经与上级部门充分沟通后获得相应的专项资金。中心部门预算与市级专项预算均能与重点工作任务相匹配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 w:cs="Times New Roman"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（二）部门管理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Theme="minorEastAsia" w:cs="宋体" w:hint="eastAsia"/>
          <w:sz w:val="24"/>
        </w:rPr>
        <w:t>中心的内部控制规范由各项规章制度组成，</w:t>
      </w:r>
      <w:r>
        <w:rPr>
          <w:rFonts w:ascii="Times New Roman" w:eastAsiaTheme="minorEastAsia" w:hAnsi="Times New Roman" w:cs="宋体" w:hint="eastAsia"/>
          <w:sz w:val="24"/>
        </w:rPr>
        <w:t>202</w:t>
      </w:r>
      <w:r>
        <w:rPr>
          <w:rFonts w:ascii="Times New Roman" w:eastAsiaTheme="minorEastAsia" w:hAnsi="Times New Roman" w:cs="宋体" w:hint="eastAsia"/>
          <w:sz w:val="24"/>
        </w:rPr>
        <w:t>4</w:t>
      </w:r>
      <w:r>
        <w:rPr>
          <w:rFonts w:ascii="Times New Roman" w:eastAsiaTheme="minorEastAsia" w:hAnsiTheme="minorEastAsia" w:cs="宋体" w:hint="eastAsia"/>
          <w:sz w:val="24"/>
        </w:rPr>
        <w:t>年中心办公会通过了</w:t>
      </w:r>
      <w:r>
        <w:rPr>
          <w:rFonts w:ascii="Times New Roman" w:eastAsiaTheme="minorEastAsia" w:hAnsiTheme="minorEastAsia" w:cs="宋体" w:hint="eastAsia"/>
          <w:sz w:val="24"/>
        </w:rPr>
        <w:t>《中共南京市疾病预防控制中心委员会关于进一步加强</w:t>
      </w:r>
      <w:r>
        <w:rPr>
          <w:rFonts w:ascii="Times New Roman" w:eastAsiaTheme="minorEastAsia" w:hAnsiTheme="minorEastAsia" w:cs="宋体" w:hint="eastAsia"/>
          <w:sz w:val="24"/>
        </w:rPr>
        <w:t xml:space="preserve"> </w:t>
      </w:r>
      <w:r>
        <w:rPr>
          <w:rFonts w:ascii="Times New Roman" w:eastAsiaTheme="minorEastAsia" w:hAnsiTheme="minorEastAsia" w:cs="宋体" w:hint="eastAsia"/>
          <w:sz w:val="24"/>
        </w:rPr>
        <w:t>“三重一大”事项决策和监管的实施办法（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年修订）》</w:t>
      </w:r>
      <w:r>
        <w:rPr>
          <w:rFonts w:ascii="Times New Roman" w:eastAsiaTheme="minorEastAsia" w:hAnsiTheme="minorEastAsia" w:cs="宋体" w:hint="eastAsia"/>
          <w:sz w:val="24"/>
        </w:rPr>
        <w:t>、</w:t>
      </w:r>
      <w:r>
        <w:rPr>
          <w:rFonts w:ascii="Times New Roman" w:eastAsiaTheme="minorEastAsia" w:hAnsiTheme="minorEastAsia" w:cs="宋体" w:hint="eastAsia"/>
          <w:sz w:val="24"/>
        </w:rPr>
        <w:t>《</w:t>
      </w:r>
      <w:r>
        <w:rPr>
          <w:rFonts w:ascii="Times New Roman" w:eastAsiaTheme="minorEastAsia" w:hAnsiTheme="minorEastAsia" w:cs="宋体" w:hint="eastAsia"/>
          <w:sz w:val="24"/>
        </w:rPr>
        <w:t>南京市疾控中心奖惩制度（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年修订）</w:t>
      </w:r>
      <w:r>
        <w:rPr>
          <w:rFonts w:ascii="Times New Roman" w:eastAsiaTheme="minorEastAsia" w:hAnsiTheme="minorEastAsia" w:cs="宋体" w:hint="eastAsia"/>
          <w:sz w:val="24"/>
        </w:rPr>
        <w:t>》</w:t>
      </w:r>
      <w:r>
        <w:rPr>
          <w:rFonts w:ascii="Times New Roman" w:eastAsiaTheme="minorEastAsia" w:hAnsiTheme="minorEastAsia" w:cs="宋体" w:hint="eastAsia"/>
          <w:sz w:val="24"/>
        </w:rPr>
        <w:t>、《南京市疾控中心物资采购管理工作制度（</w:t>
      </w:r>
      <w:r>
        <w:rPr>
          <w:rFonts w:ascii="Times New Roman" w:eastAsiaTheme="minorEastAsia" w:hAnsiTheme="minorEastAsia" w:cs="宋体" w:hint="eastAsia"/>
          <w:sz w:val="24"/>
        </w:rPr>
        <w:t>202</w:t>
      </w:r>
      <w:r>
        <w:rPr>
          <w:rFonts w:ascii="Times New Roman" w:eastAsiaTheme="minorEastAsia" w:hAnsiTheme="minorEastAsia" w:cs="宋体" w:hint="eastAsia"/>
          <w:sz w:val="24"/>
        </w:rPr>
        <w:t>4</w:t>
      </w:r>
      <w:r>
        <w:rPr>
          <w:rFonts w:ascii="Times New Roman" w:eastAsiaTheme="minorEastAsia" w:hAnsiTheme="minorEastAsia" w:cs="宋体" w:hint="eastAsia"/>
          <w:sz w:val="24"/>
        </w:rPr>
        <w:t>年修订）》、《南京市疾控中心物资管理工作制度（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年）》、《南京市疾控中心昆仑路院区职工停车位摇号及使用管理办法（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年）》、《南京市疾控中心信息化项目建设管理办法（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年修订）》、《南京市疾控中心科技成果转移转化管理办法（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年修订）》、《南京市疾控中心继续医学教育项目暂行管理办法（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年修订）》、《南京市疾控中心在职人员学历教育管理规定（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年修订）》、《南京市疾控中心科研培训管理规定（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年修订）》</w:t>
      </w:r>
      <w:r>
        <w:rPr>
          <w:rFonts w:ascii="Times New Roman" w:eastAsiaTheme="minorEastAsia" w:hAnsiTheme="minorEastAsia" w:cs="宋体" w:hint="eastAsia"/>
          <w:sz w:val="24"/>
        </w:rPr>
        <w:t>、《</w:t>
      </w:r>
      <w:r>
        <w:rPr>
          <w:rFonts w:ascii="Times New Roman" w:eastAsiaTheme="minorEastAsia" w:hAnsiTheme="minorEastAsia" w:cs="宋体" w:hint="eastAsia"/>
          <w:sz w:val="24"/>
        </w:rPr>
        <w:t>南京市疾控中心学生管理制</w:t>
      </w:r>
      <w:r>
        <w:rPr>
          <w:rFonts w:ascii="Times New Roman" w:eastAsiaTheme="minorEastAsia" w:hAnsiTheme="minorEastAsia" w:cs="宋体" w:hint="eastAsia"/>
          <w:sz w:val="24"/>
        </w:rPr>
        <w:t>度（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年）</w:t>
      </w:r>
      <w:r>
        <w:rPr>
          <w:rFonts w:ascii="Times New Roman" w:eastAsiaTheme="minorEastAsia" w:hAnsiTheme="minorEastAsia" w:cs="宋体" w:hint="eastAsia"/>
          <w:sz w:val="24"/>
        </w:rPr>
        <w:t>》、《南京市疾控中心举办学术活动管理办法（试行）（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年）》</w:t>
      </w:r>
      <w:r>
        <w:rPr>
          <w:rFonts w:ascii="Times New Roman" w:eastAsiaTheme="minorEastAsia" w:hAnsiTheme="minorEastAsia" w:cs="宋体" w:hint="eastAsia"/>
          <w:sz w:val="24"/>
        </w:rPr>
        <w:t>等制度规定，并印制了《南京市疾控中心规章制度（第</w:t>
      </w:r>
      <w:r>
        <w:rPr>
          <w:rFonts w:ascii="Times New Roman" w:eastAsiaTheme="minorEastAsia" w:hAnsiTheme="minorEastAsia" w:cs="宋体" w:hint="eastAsia"/>
          <w:sz w:val="24"/>
        </w:rPr>
        <w:t>七</w:t>
      </w:r>
      <w:r>
        <w:rPr>
          <w:rFonts w:ascii="Times New Roman" w:eastAsiaTheme="minorEastAsia" w:hAnsiTheme="minorEastAsia" w:cs="宋体" w:hint="eastAsia"/>
          <w:sz w:val="24"/>
        </w:rPr>
        <w:t>版）》，保障了中心各项决策的合理制定、各项经济活动的有序开展。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Theme="minorEastAsia" w:hint="eastAsia"/>
          <w:sz w:val="24"/>
        </w:rPr>
        <w:t>经费预算管理方面严格按照《南京市疾控中心预算管理办法》对预算编制的原则、内容、方法、预算执行和调整、监督与考核等各方面都进行了规范，明确了预算编制的实施部门、领导机构。项目预算上报前均需进行事前评估、采购委员会讨论、领导班子决策等程序。执行过程中也定期对预算执行情况进行分析和评价，并对发现的问题及时进行纠正和调整。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宋体"/>
          <w:sz w:val="24"/>
        </w:rPr>
      </w:pPr>
      <w:r>
        <w:rPr>
          <w:rFonts w:ascii="Times New Roman" w:eastAsiaTheme="minorEastAsia" w:hAnsiTheme="minorEastAsia" w:hint="eastAsia"/>
          <w:sz w:val="24"/>
        </w:rPr>
        <w:t>2024</w:t>
      </w:r>
      <w:r>
        <w:rPr>
          <w:rFonts w:ascii="Times New Roman" w:eastAsiaTheme="minorEastAsia" w:hAnsiTheme="minorEastAsia" w:hint="eastAsia"/>
          <w:sz w:val="24"/>
        </w:rPr>
        <w:t>年</w:t>
      </w:r>
      <w:r>
        <w:rPr>
          <w:rFonts w:ascii="Times New Roman" w:eastAsiaTheme="minorEastAsia" w:hAnsiTheme="minorEastAsia" w:hint="eastAsia"/>
          <w:sz w:val="24"/>
        </w:rPr>
        <w:t>中心</w:t>
      </w:r>
      <w:proofErr w:type="gramStart"/>
      <w:r>
        <w:rPr>
          <w:rFonts w:ascii="Times New Roman" w:eastAsiaTheme="minorEastAsia" w:hAnsiTheme="minorEastAsia" w:hint="eastAsia"/>
          <w:sz w:val="24"/>
        </w:rPr>
        <w:t>智慧疾控信息化</w:t>
      </w:r>
      <w:proofErr w:type="gramEnd"/>
      <w:r>
        <w:rPr>
          <w:rFonts w:ascii="Times New Roman" w:eastAsiaTheme="minorEastAsia" w:hAnsiTheme="minorEastAsia" w:hint="eastAsia"/>
          <w:sz w:val="24"/>
        </w:rPr>
        <w:t>平台内控</w:t>
      </w:r>
      <w:r>
        <w:rPr>
          <w:rFonts w:ascii="Times New Roman" w:eastAsiaTheme="minorEastAsia" w:hAnsiTheme="minorEastAsia" w:hint="eastAsia"/>
          <w:sz w:val="24"/>
        </w:rPr>
        <w:t>系统平稳运行</w:t>
      </w:r>
      <w:r>
        <w:rPr>
          <w:rFonts w:ascii="Times New Roman" w:eastAsiaTheme="minorEastAsia" w:hAnsiTheme="minorEastAsia" w:hint="eastAsia"/>
          <w:sz w:val="24"/>
        </w:rPr>
        <w:t>，加强</w:t>
      </w:r>
      <w:r>
        <w:rPr>
          <w:rFonts w:ascii="Times New Roman" w:eastAsiaTheme="minorEastAsia" w:hAnsiTheme="minorEastAsia" w:hint="eastAsia"/>
          <w:sz w:val="24"/>
        </w:rPr>
        <w:t>了</w:t>
      </w:r>
      <w:r>
        <w:rPr>
          <w:rFonts w:ascii="Times New Roman" w:eastAsiaTheme="minorEastAsia" w:hAnsiTheme="minorEastAsia" w:hint="eastAsia"/>
          <w:sz w:val="24"/>
        </w:rPr>
        <w:t>单位内控管理工作</w:t>
      </w:r>
      <w:r>
        <w:rPr>
          <w:rFonts w:ascii="Times New Roman" w:eastAsiaTheme="minorEastAsia" w:hAnsiTheme="minorEastAsia" w:hint="eastAsia"/>
          <w:sz w:val="24"/>
        </w:rPr>
        <w:t>，</w:t>
      </w:r>
      <w:r>
        <w:rPr>
          <w:rFonts w:ascii="Times New Roman" w:eastAsiaTheme="minorEastAsia" w:hAnsiTheme="minorEastAsia" w:hint="eastAsia"/>
          <w:sz w:val="24"/>
        </w:rPr>
        <w:t>提高了管理效率。</w:t>
      </w:r>
      <w:r>
        <w:rPr>
          <w:rFonts w:ascii="Times New Roman" w:eastAsiaTheme="minorEastAsia" w:hAnsiTheme="minorEastAsia" w:cs="宋体" w:hint="eastAsia"/>
          <w:sz w:val="24"/>
        </w:rPr>
        <w:t>物资采购管理委员会按季度定期召开采购管理委员会例会，集体讨论并通报本季度重要事项，遇有临时事项也通过召开临时采购管理委员会会议进行集体商议，日常</w:t>
      </w:r>
      <w:r>
        <w:rPr>
          <w:rFonts w:ascii="Times New Roman" w:eastAsiaTheme="minorEastAsia" w:hAnsiTheme="minorEastAsia" w:hint="eastAsia"/>
          <w:sz w:val="24"/>
        </w:rPr>
        <w:t>采购工作由</w:t>
      </w:r>
      <w:proofErr w:type="gramStart"/>
      <w:r>
        <w:rPr>
          <w:rFonts w:ascii="Times New Roman" w:eastAsiaTheme="minorEastAsia" w:hAnsiTheme="minorEastAsia" w:cs="宋体" w:hint="eastAsia"/>
          <w:sz w:val="24"/>
        </w:rPr>
        <w:t>采购办</w:t>
      </w:r>
      <w:proofErr w:type="gramEnd"/>
      <w:r>
        <w:rPr>
          <w:rFonts w:ascii="Times New Roman" w:eastAsiaTheme="minorEastAsia" w:hAnsiTheme="minorEastAsia" w:cs="宋体" w:hint="eastAsia"/>
          <w:sz w:val="24"/>
        </w:rPr>
        <w:t>按照政府采购相关规定完成。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 w:cs="Times New Roman"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 w:hint="eastAsia"/>
          <w:sz w:val="24"/>
          <w:lang w:val="en-US" w:eastAsia="zh-CN" w:bidi="ar-SA"/>
        </w:rPr>
        <w:t>（三）</w:t>
      </w:r>
      <w:r>
        <w:rPr>
          <w:rFonts w:asciiTheme="minorEastAsia" w:eastAsiaTheme="minorEastAsia" w:hAnsiTheme="minorEastAsia" w:hint="eastAsia"/>
          <w:sz w:val="24"/>
        </w:rPr>
        <w:t>部门履职及履职绩效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Theme="minorEastAsia"/>
          <w:sz w:val="24"/>
        </w:rPr>
      </w:pPr>
      <w:r>
        <w:rPr>
          <w:rFonts w:ascii="Times New Roman" w:eastAsiaTheme="minorEastAsia" w:hAnsiTheme="minorEastAsia" w:hint="eastAsia"/>
          <w:sz w:val="24"/>
        </w:rPr>
        <w:lastRenderedPageBreak/>
        <w:t>中心坚持以习近平新时代中国特色社会主义思想为指导，全面贯彻党的二十大及二十届二中全会、三中全会精神，深入开展党纪学习教育，巩固拓展主题教育成果，切实加强班子建设、纪律建设和作风建设。</w:t>
      </w:r>
      <w:proofErr w:type="gramStart"/>
      <w:r>
        <w:rPr>
          <w:rFonts w:ascii="Times New Roman" w:eastAsiaTheme="minorEastAsia" w:hAnsiTheme="minorEastAsia" w:hint="eastAsia"/>
          <w:sz w:val="24"/>
        </w:rPr>
        <w:t>夯实班子</w:t>
      </w:r>
      <w:proofErr w:type="gramEnd"/>
      <w:r>
        <w:rPr>
          <w:rFonts w:ascii="Times New Roman" w:eastAsiaTheme="minorEastAsia" w:hAnsiTheme="minorEastAsia" w:hint="eastAsia"/>
          <w:sz w:val="24"/>
        </w:rPr>
        <w:t>成员“一岗双责”履责实效，坚持发挥关键少数作用。制定全面从严治党主体责任清单和纪委监督责任清单，修订中心“三重一大”事项研究讨论（决策）实施办法，持续开展履职风险点排查和各类专项监督，引领各项事业全面健康发展。建成“智慧党建”信息化平台，建立落实中心基层党建“列席旁听、业务培训、抽查自查、问题通报、典型引领”提质增效五项</w:t>
      </w:r>
      <w:r>
        <w:rPr>
          <w:rFonts w:ascii="Times New Roman" w:eastAsiaTheme="minorEastAsia" w:hAnsiTheme="minorEastAsia" w:hint="eastAsia"/>
          <w:sz w:val="24"/>
        </w:rPr>
        <w:t>机制，与</w:t>
      </w:r>
      <w:proofErr w:type="gramStart"/>
      <w:r>
        <w:rPr>
          <w:rFonts w:ascii="Times New Roman" w:eastAsiaTheme="minorEastAsia" w:hAnsiTheme="minorEastAsia" w:hint="eastAsia"/>
          <w:sz w:val="24"/>
        </w:rPr>
        <w:t>区疾控党建</w:t>
      </w:r>
      <w:proofErr w:type="gramEnd"/>
      <w:r>
        <w:rPr>
          <w:rFonts w:ascii="Times New Roman" w:eastAsiaTheme="minorEastAsia" w:hAnsiTheme="minorEastAsia" w:hint="eastAsia"/>
          <w:sz w:val="24"/>
        </w:rPr>
        <w:t>共建推动业务指导成效。新闻宣传工作卓有成效，全年多个新媒体发布各类稿件</w:t>
      </w:r>
      <w:r>
        <w:rPr>
          <w:rFonts w:ascii="Times New Roman" w:eastAsiaTheme="minorEastAsia" w:hAnsiTheme="minorEastAsia" w:hint="eastAsia"/>
          <w:sz w:val="24"/>
        </w:rPr>
        <w:t>571</w:t>
      </w:r>
      <w:r>
        <w:rPr>
          <w:rFonts w:ascii="Times New Roman" w:eastAsiaTheme="minorEastAsia" w:hAnsiTheme="minorEastAsia" w:hint="eastAsia"/>
          <w:sz w:val="24"/>
        </w:rPr>
        <w:t>篇，上级平台转发量持续位列直属单位第一位。学习型党支部建设卓有成效，报送《以“四实”育“三好”全力建设学习型党组织》获</w:t>
      </w:r>
      <w:proofErr w:type="gramStart"/>
      <w:r>
        <w:rPr>
          <w:rFonts w:ascii="Times New Roman" w:eastAsiaTheme="minorEastAsia" w:hAnsiTheme="minorEastAsia" w:hint="eastAsia"/>
          <w:sz w:val="24"/>
        </w:rPr>
        <w:t>江苏省疾控系统</w:t>
      </w:r>
      <w:proofErr w:type="gramEnd"/>
      <w:r>
        <w:rPr>
          <w:rFonts w:ascii="Times New Roman" w:eastAsiaTheme="minorEastAsia" w:hAnsiTheme="minorEastAsia" w:hint="eastAsia"/>
          <w:sz w:val="24"/>
        </w:rPr>
        <w:t>党建优秀案例二等奖。</w:t>
      </w:r>
      <w:r>
        <w:rPr>
          <w:rFonts w:ascii="Times New Roman" w:eastAsiaTheme="minorEastAsia" w:hAnsiTheme="minorEastAsia" w:hint="eastAsia"/>
          <w:sz w:val="24"/>
        </w:rPr>
        <w:t>同时也</w:t>
      </w:r>
      <w:r>
        <w:rPr>
          <w:rFonts w:ascii="Times New Roman" w:eastAsiaTheme="minorEastAsia" w:hAnsiTheme="minorEastAsia" w:hint="eastAsia"/>
          <w:sz w:val="24"/>
        </w:rPr>
        <w:t>扎实推进各项业务工作，屡获佳绩，荣获江苏省传染病疫情处置职业技能竞赛团体一等奖、江苏省预防接种技能竞赛团体一等奖。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宋体"/>
          <w:bCs/>
          <w:sz w:val="24"/>
        </w:rPr>
      </w:pPr>
      <w:r>
        <w:rPr>
          <w:rFonts w:ascii="Times New Roman" w:eastAsiaTheme="minorEastAsia" w:hAnsiTheme="minorEastAsia" w:hint="eastAsia"/>
          <w:bCs/>
          <w:color w:val="000000"/>
          <w:sz w:val="24"/>
          <w:lang w:bidi="en-US"/>
        </w:rPr>
        <w:t>（四）可持续发展能力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Theme="minorEastAsia" w:cs="宋体"/>
          <w:sz w:val="24"/>
          <w:lang w:bidi="en-US"/>
        </w:rPr>
      </w:pPr>
      <w:r>
        <w:rPr>
          <w:rFonts w:ascii="Times New Roman" w:eastAsiaTheme="minorEastAsia" w:hAnsiTheme="minorEastAsia" w:cs="宋体" w:hint="eastAsia"/>
          <w:sz w:val="24"/>
          <w:lang w:bidi="en-US"/>
        </w:rPr>
        <w:t>202</w:t>
      </w:r>
      <w:r>
        <w:rPr>
          <w:rFonts w:ascii="Times New Roman" w:eastAsiaTheme="minorEastAsia" w:hAnsiTheme="minorEastAsia" w:cs="宋体" w:hint="eastAsia"/>
          <w:sz w:val="24"/>
          <w:lang w:bidi="en-US"/>
        </w:rPr>
        <w:t>4</w:t>
      </w:r>
      <w:r>
        <w:rPr>
          <w:rFonts w:ascii="Times New Roman" w:eastAsiaTheme="minorEastAsia" w:hAnsiTheme="minorEastAsia" w:cs="宋体" w:hint="eastAsia"/>
          <w:sz w:val="24"/>
          <w:lang w:bidi="en-US"/>
        </w:rPr>
        <w:t>年在信息化建设方面，</w:t>
      </w:r>
      <w:r>
        <w:rPr>
          <w:rFonts w:ascii="Times New Roman" w:eastAsiaTheme="minorEastAsia" w:hAnsiTheme="minorEastAsia" w:cs="宋体" w:hint="eastAsia"/>
          <w:sz w:val="24"/>
          <w:lang w:bidi="en-US"/>
        </w:rPr>
        <w:t>持续</w:t>
      </w:r>
      <w:r>
        <w:rPr>
          <w:rFonts w:ascii="Times New Roman" w:eastAsiaTheme="minorEastAsia" w:hAnsiTheme="minorEastAsia" w:cs="宋体" w:hint="eastAsia"/>
          <w:sz w:val="24"/>
          <w:lang w:bidi="en-US"/>
        </w:rPr>
        <w:t>推进</w:t>
      </w:r>
      <w:proofErr w:type="gramStart"/>
      <w:r>
        <w:rPr>
          <w:rFonts w:ascii="Times New Roman" w:eastAsiaTheme="minorEastAsia" w:hAnsiTheme="minorEastAsia" w:cs="宋体" w:hint="eastAsia"/>
          <w:sz w:val="24"/>
          <w:lang w:bidi="en-US"/>
        </w:rPr>
        <w:t>数字疾控平台</w:t>
      </w:r>
      <w:proofErr w:type="gramEnd"/>
      <w:r>
        <w:rPr>
          <w:rFonts w:ascii="Times New Roman" w:eastAsiaTheme="minorEastAsia" w:hAnsiTheme="minorEastAsia" w:cs="宋体" w:hint="eastAsia"/>
          <w:sz w:val="24"/>
          <w:lang w:bidi="en-US"/>
        </w:rPr>
        <w:t>项目建设，融入“我的南京”政务版并开通</w:t>
      </w:r>
      <w:proofErr w:type="gramStart"/>
      <w:r>
        <w:rPr>
          <w:rFonts w:ascii="Times New Roman" w:eastAsiaTheme="minorEastAsia" w:hAnsiTheme="minorEastAsia" w:cs="宋体" w:hint="eastAsia"/>
          <w:sz w:val="24"/>
          <w:lang w:bidi="en-US"/>
        </w:rPr>
        <w:t>疾控微</w:t>
      </w:r>
      <w:proofErr w:type="gramEnd"/>
      <w:r>
        <w:rPr>
          <w:rFonts w:ascii="Times New Roman" w:eastAsiaTheme="minorEastAsia" w:hAnsiTheme="minorEastAsia" w:cs="宋体" w:hint="eastAsia"/>
          <w:sz w:val="24"/>
          <w:lang w:bidi="en-US"/>
        </w:rPr>
        <w:t>服务，提供市民需要、想要的公共卫生服务，为新质生产力添动力。省内率先完成传染病监测预警与应急指挥能力提升项目清单任务，率先</w:t>
      </w:r>
      <w:proofErr w:type="gramStart"/>
      <w:r>
        <w:rPr>
          <w:rFonts w:ascii="Times New Roman" w:eastAsiaTheme="minorEastAsia" w:hAnsiTheme="minorEastAsia" w:cs="宋体" w:hint="eastAsia"/>
          <w:sz w:val="24"/>
          <w:lang w:bidi="en-US"/>
        </w:rPr>
        <w:t>运行国家传</w:t>
      </w:r>
      <w:proofErr w:type="gramEnd"/>
      <w:r>
        <w:rPr>
          <w:rFonts w:ascii="Times New Roman" w:eastAsiaTheme="minorEastAsia" w:hAnsiTheme="minorEastAsia" w:cs="宋体" w:hint="eastAsia"/>
          <w:sz w:val="24"/>
          <w:lang w:bidi="en-US"/>
        </w:rPr>
        <w:t>染病智能监测预警前置软件部署应用。</w:t>
      </w:r>
      <w:proofErr w:type="gramStart"/>
      <w:r>
        <w:rPr>
          <w:rFonts w:ascii="Times New Roman" w:eastAsiaTheme="minorEastAsia" w:hAnsiTheme="minorEastAsia" w:cs="宋体" w:hint="eastAsia"/>
          <w:sz w:val="24"/>
          <w:lang w:bidi="en-US"/>
        </w:rPr>
        <w:t>昆仑路</w:t>
      </w:r>
      <w:proofErr w:type="gramEnd"/>
      <w:r>
        <w:rPr>
          <w:rFonts w:ascii="Times New Roman" w:eastAsiaTheme="minorEastAsia" w:hAnsiTheme="minorEastAsia" w:cs="宋体" w:hint="eastAsia"/>
          <w:sz w:val="24"/>
          <w:lang w:bidi="en-US"/>
        </w:rPr>
        <w:t>16</w:t>
      </w:r>
      <w:r>
        <w:rPr>
          <w:rFonts w:ascii="Times New Roman" w:eastAsiaTheme="minorEastAsia" w:hAnsiTheme="minorEastAsia" w:cs="宋体" w:hint="eastAsia"/>
          <w:sz w:val="24"/>
          <w:lang w:bidi="en-US"/>
        </w:rPr>
        <w:t>号院区正式投入使用，南京市健康科普</w:t>
      </w:r>
      <w:proofErr w:type="gramStart"/>
      <w:r>
        <w:rPr>
          <w:rFonts w:ascii="Times New Roman" w:eastAsiaTheme="minorEastAsia" w:hAnsiTheme="minorEastAsia" w:cs="宋体" w:hint="eastAsia"/>
          <w:sz w:val="24"/>
          <w:lang w:bidi="en-US"/>
        </w:rPr>
        <w:t>馆顺利</w:t>
      </w:r>
      <w:proofErr w:type="gramEnd"/>
      <w:r>
        <w:rPr>
          <w:rFonts w:ascii="Times New Roman" w:eastAsiaTheme="minorEastAsia" w:hAnsiTheme="minorEastAsia" w:cs="宋体" w:hint="eastAsia"/>
          <w:sz w:val="24"/>
          <w:lang w:bidi="en-US"/>
        </w:rPr>
        <w:t>开馆，集健康知识普及、互动体验、教育示范等多功能于一体，全面提升健康教育影响力，提升居民健康素养中心</w:t>
      </w:r>
      <w:r>
        <w:rPr>
          <w:rFonts w:ascii="Times New Roman" w:eastAsiaTheme="minorEastAsia" w:hAnsiTheme="minorEastAsia" w:cs="宋体" w:hint="eastAsia"/>
          <w:sz w:val="24"/>
          <w:lang w:bidi="en-US"/>
        </w:rPr>
        <w:t>。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Theme="minorEastAsia" w:cs="宋体"/>
          <w:sz w:val="24"/>
          <w:lang w:bidi="en-US"/>
        </w:rPr>
      </w:pPr>
      <w:r>
        <w:rPr>
          <w:rFonts w:ascii="Times New Roman" w:eastAsiaTheme="minorEastAsia" w:hAnsiTheme="minorEastAsia" w:cs="宋体" w:hint="eastAsia"/>
          <w:sz w:val="24"/>
          <w:lang w:bidi="en-US"/>
        </w:rPr>
        <w:t>在人力资源建设方面建立人才培养选拔机制，制定人才培养建设规划和年度工作计划，引导鼓励职工参加进修培训、学历提升、科研教学，建立高校合</w:t>
      </w:r>
      <w:r>
        <w:rPr>
          <w:rFonts w:ascii="Times New Roman" w:eastAsiaTheme="minorEastAsia" w:hAnsiTheme="minorEastAsia" w:cs="宋体" w:hint="eastAsia"/>
          <w:sz w:val="24"/>
          <w:lang w:bidi="en-US"/>
        </w:rPr>
        <w:t>作机制，组建科研团队，促进中心人才培养全面发展。中心根据《奖励性绩效工资分配办法》和《科室综合目标考核办法》，合理地将绩效分配与责任风险、业务骨干、工作业绩联系起来。另外根据考核结果进行科室排序，同时开展年终评先表彰工作，对年度先进集体、优秀团队、先进个人等分别给予奖励，充分发挥奖励和奖金双重激励效果。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Theme="minorEastAsia" w:cs="宋体"/>
          <w:sz w:val="24"/>
          <w:lang w:bidi="zh-TW"/>
        </w:rPr>
      </w:pPr>
      <w:r>
        <w:rPr>
          <w:rFonts w:ascii="Times New Roman" w:eastAsiaTheme="minorEastAsia" w:hAnsiTheme="minorEastAsia" w:cs="宋体" w:hint="eastAsia"/>
          <w:sz w:val="24"/>
        </w:rPr>
        <w:t>科研创新工作方面</w:t>
      </w:r>
      <w:r>
        <w:rPr>
          <w:rFonts w:ascii="Times New Roman" w:eastAsiaTheme="minorEastAsia" w:hAnsiTheme="minorEastAsia" w:cs="宋体" w:hint="eastAsia"/>
          <w:sz w:val="24"/>
        </w:rPr>
        <w:t>，</w:t>
      </w:r>
      <w:r>
        <w:rPr>
          <w:rFonts w:ascii="Times New Roman" w:eastAsiaTheme="minorEastAsia" w:hAnsiTheme="minorEastAsia" w:cs="宋体" w:hint="eastAsia"/>
          <w:sz w:val="24"/>
        </w:rPr>
        <w:t>中心</w:t>
      </w:r>
      <w:r>
        <w:rPr>
          <w:rFonts w:ascii="Times New Roman" w:eastAsiaTheme="minorEastAsia" w:hAnsiTheme="minorEastAsia" w:cs="宋体" w:hint="eastAsia"/>
          <w:sz w:val="24"/>
        </w:rPr>
        <w:t>聘任首席公共卫生专家</w:t>
      </w:r>
      <w:r>
        <w:rPr>
          <w:rFonts w:ascii="Times New Roman" w:eastAsiaTheme="minorEastAsia" w:hAnsiTheme="minorEastAsia" w:cs="宋体" w:hint="eastAsia"/>
          <w:sz w:val="24"/>
        </w:rPr>
        <w:t>1</w:t>
      </w:r>
      <w:r>
        <w:rPr>
          <w:rFonts w:ascii="Times New Roman" w:eastAsiaTheme="minorEastAsia" w:hAnsiTheme="minorEastAsia" w:cs="宋体" w:hint="eastAsia"/>
          <w:sz w:val="24"/>
        </w:rPr>
        <w:t>名，</w:t>
      </w:r>
      <w:r>
        <w:rPr>
          <w:rFonts w:ascii="Times New Roman" w:eastAsiaTheme="minorEastAsia" w:hAnsiTheme="minorEastAsia" w:cs="宋体" w:hint="eastAsia"/>
          <w:sz w:val="24"/>
        </w:rPr>
        <w:t>1</w:t>
      </w:r>
      <w:r>
        <w:rPr>
          <w:rFonts w:ascii="Times New Roman" w:eastAsiaTheme="minorEastAsia" w:hAnsiTheme="minorEastAsia" w:cs="宋体" w:hint="eastAsia"/>
          <w:sz w:val="24"/>
        </w:rPr>
        <w:t>人入选江苏省“</w:t>
      </w:r>
      <w:r>
        <w:rPr>
          <w:rFonts w:ascii="Times New Roman" w:eastAsiaTheme="minorEastAsia" w:hAnsiTheme="minorEastAsia" w:cs="宋体" w:hint="eastAsia"/>
          <w:sz w:val="24"/>
        </w:rPr>
        <w:t>333</w:t>
      </w:r>
      <w:r>
        <w:rPr>
          <w:rFonts w:ascii="Times New Roman" w:eastAsiaTheme="minorEastAsia" w:hAnsiTheme="minorEastAsia" w:cs="宋体" w:hint="eastAsia"/>
          <w:sz w:val="24"/>
        </w:rPr>
        <w:t>”人才工程第七期第三层次培养对象</w:t>
      </w:r>
      <w:r>
        <w:rPr>
          <w:rFonts w:ascii="Times New Roman" w:eastAsiaTheme="minorEastAsia" w:hAnsiTheme="minorEastAsia" w:cs="宋体" w:hint="eastAsia"/>
          <w:sz w:val="24"/>
        </w:rPr>
        <w:t>，</w:t>
      </w:r>
      <w:r>
        <w:rPr>
          <w:rFonts w:ascii="Times New Roman" w:eastAsiaTheme="minorEastAsia" w:hAnsiTheme="minorEastAsia" w:cs="宋体" w:hint="eastAsia"/>
          <w:sz w:val="24"/>
        </w:rPr>
        <w:t>引进博士（专职科研岗）</w:t>
      </w:r>
      <w:r>
        <w:rPr>
          <w:rFonts w:ascii="Times New Roman" w:eastAsiaTheme="minorEastAsia" w:hAnsiTheme="minorEastAsia" w:cs="宋体" w:hint="eastAsia"/>
          <w:sz w:val="24"/>
        </w:rPr>
        <w:t>3</w:t>
      </w:r>
      <w:r>
        <w:rPr>
          <w:rFonts w:ascii="Times New Roman" w:eastAsiaTheme="minorEastAsia" w:hAnsiTheme="minorEastAsia" w:cs="宋体" w:hint="eastAsia"/>
          <w:sz w:val="24"/>
        </w:rPr>
        <w:t>人。各类人才资助培养项目出国进修学习</w:t>
      </w:r>
      <w:r>
        <w:rPr>
          <w:rFonts w:ascii="Times New Roman" w:eastAsiaTheme="minorEastAsia" w:hAnsiTheme="minorEastAsia" w:cs="宋体" w:hint="eastAsia"/>
          <w:sz w:val="24"/>
        </w:rPr>
        <w:t>4</w:t>
      </w:r>
      <w:r>
        <w:rPr>
          <w:rFonts w:ascii="Times New Roman" w:eastAsiaTheme="minorEastAsia" w:hAnsiTheme="minorEastAsia" w:cs="宋体" w:hint="eastAsia"/>
          <w:sz w:val="24"/>
        </w:rPr>
        <w:t>人。创新兼职科研岗聘用制，聘用</w:t>
      </w:r>
      <w:r>
        <w:rPr>
          <w:rFonts w:ascii="Times New Roman" w:eastAsiaTheme="minorEastAsia" w:hAnsiTheme="minorEastAsia" w:cs="宋体" w:hint="eastAsia"/>
          <w:sz w:val="24"/>
        </w:rPr>
        <w:t>1</w:t>
      </w:r>
      <w:r>
        <w:rPr>
          <w:rFonts w:ascii="Times New Roman" w:eastAsiaTheme="minorEastAsia" w:hAnsiTheme="minorEastAsia" w:cs="宋体" w:hint="eastAsia"/>
          <w:sz w:val="24"/>
        </w:rPr>
        <w:t>人。发表</w:t>
      </w:r>
      <w:r>
        <w:rPr>
          <w:rFonts w:ascii="Times New Roman" w:eastAsiaTheme="minorEastAsia" w:hAnsiTheme="minorEastAsia" w:cs="宋体" w:hint="eastAsia"/>
          <w:sz w:val="24"/>
        </w:rPr>
        <w:t>论文</w:t>
      </w:r>
      <w:r>
        <w:rPr>
          <w:rFonts w:ascii="Times New Roman" w:eastAsiaTheme="minorEastAsia" w:hAnsiTheme="minorEastAsia" w:cs="宋体" w:hint="eastAsia"/>
          <w:sz w:val="24"/>
        </w:rPr>
        <w:lastRenderedPageBreak/>
        <w:t>109</w:t>
      </w:r>
      <w:r>
        <w:rPr>
          <w:rFonts w:ascii="Times New Roman" w:eastAsiaTheme="minorEastAsia" w:hAnsiTheme="minorEastAsia" w:cs="宋体" w:hint="eastAsia"/>
          <w:sz w:val="24"/>
        </w:rPr>
        <w:t>篇，其中</w:t>
      </w:r>
      <w:r>
        <w:rPr>
          <w:rFonts w:ascii="Times New Roman" w:eastAsiaTheme="minorEastAsia" w:hAnsiTheme="minorEastAsia" w:cs="宋体" w:hint="eastAsia"/>
          <w:sz w:val="24"/>
        </w:rPr>
        <w:t>SCI</w:t>
      </w:r>
      <w:r>
        <w:rPr>
          <w:rFonts w:ascii="Times New Roman" w:eastAsiaTheme="minorEastAsia" w:hAnsiTheme="minorEastAsia" w:cs="宋体" w:hint="eastAsia"/>
          <w:sz w:val="24"/>
        </w:rPr>
        <w:t>论文</w:t>
      </w:r>
      <w:r>
        <w:rPr>
          <w:rFonts w:ascii="Times New Roman" w:eastAsiaTheme="minorEastAsia" w:hAnsiTheme="minorEastAsia" w:cs="宋体" w:hint="eastAsia"/>
          <w:sz w:val="24"/>
        </w:rPr>
        <w:t>29</w:t>
      </w:r>
      <w:r>
        <w:rPr>
          <w:rFonts w:ascii="Times New Roman" w:eastAsiaTheme="minorEastAsia" w:hAnsiTheme="minorEastAsia" w:cs="宋体" w:hint="eastAsia"/>
          <w:sz w:val="24"/>
        </w:rPr>
        <w:t>篇。立项课题</w:t>
      </w:r>
      <w:r>
        <w:rPr>
          <w:rFonts w:ascii="Times New Roman" w:eastAsiaTheme="minorEastAsia" w:hAnsiTheme="minorEastAsia" w:cs="宋体" w:hint="eastAsia"/>
          <w:sz w:val="24"/>
        </w:rPr>
        <w:t>7</w:t>
      </w:r>
      <w:r>
        <w:rPr>
          <w:rFonts w:ascii="Times New Roman" w:eastAsiaTheme="minorEastAsia" w:hAnsiTheme="minorEastAsia" w:cs="宋体" w:hint="eastAsia"/>
          <w:sz w:val="24"/>
        </w:rPr>
        <w:t>类</w:t>
      </w:r>
      <w:r>
        <w:rPr>
          <w:rFonts w:ascii="Times New Roman" w:eastAsiaTheme="minorEastAsia" w:hAnsiTheme="minorEastAsia" w:cs="宋体" w:hint="eastAsia"/>
          <w:sz w:val="24"/>
        </w:rPr>
        <w:t>44</w:t>
      </w:r>
      <w:r>
        <w:rPr>
          <w:rFonts w:ascii="Times New Roman" w:eastAsiaTheme="minorEastAsia" w:hAnsiTheme="minorEastAsia" w:cs="宋体" w:hint="eastAsia"/>
          <w:sz w:val="24"/>
        </w:rPr>
        <w:t>项，获得南京预防医学科技奖一、二、三等奖各</w:t>
      </w:r>
      <w:r>
        <w:rPr>
          <w:rFonts w:ascii="Times New Roman" w:eastAsiaTheme="minorEastAsia" w:hAnsiTheme="minorEastAsia" w:cs="宋体" w:hint="eastAsia"/>
          <w:sz w:val="24"/>
        </w:rPr>
        <w:t>1</w:t>
      </w:r>
      <w:r>
        <w:rPr>
          <w:rFonts w:ascii="Times New Roman" w:eastAsiaTheme="minorEastAsia" w:hAnsiTheme="minorEastAsia" w:cs="宋体" w:hint="eastAsia"/>
          <w:sz w:val="24"/>
        </w:rPr>
        <w:t>项，获发明专利授权</w:t>
      </w:r>
      <w:r>
        <w:rPr>
          <w:rFonts w:ascii="Times New Roman" w:eastAsiaTheme="minorEastAsia" w:hAnsiTheme="minorEastAsia" w:cs="宋体" w:hint="eastAsia"/>
          <w:sz w:val="24"/>
        </w:rPr>
        <w:t>1</w:t>
      </w:r>
      <w:r>
        <w:rPr>
          <w:rFonts w:ascii="Times New Roman" w:eastAsiaTheme="minorEastAsia" w:hAnsiTheme="minorEastAsia" w:cs="宋体" w:hint="eastAsia"/>
          <w:sz w:val="24"/>
        </w:rPr>
        <w:t>项，软件著作权</w:t>
      </w:r>
      <w:r>
        <w:rPr>
          <w:rFonts w:ascii="Times New Roman" w:eastAsiaTheme="minorEastAsia" w:hAnsiTheme="minorEastAsia" w:cs="宋体" w:hint="eastAsia"/>
          <w:sz w:val="24"/>
        </w:rPr>
        <w:t>9</w:t>
      </w:r>
      <w:r>
        <w:rPr>
          <w:rFonts w:ascii="Times New Roman" w:eastAsiaTheme="minorEastAsia" w:hAnsiTheme="minorEastAsia" w:cs="宋体" w:hint="eastAsia"/>
          <w:sz w:val="24"/>
        </w:rPr>
        <w:t>项；</w:t>
      </w:r>
      <w:proofErr w:type="gramStart"/>
      <w:r>
        <w:rPr>
          <w:rFonts w:ascii="Times New Roman" w:eastAsiaTheme="minorEastAsia" w:hAnsiTheme="minorEastAsia" w:cs="宋体" w:hint="eastAsia"/>
          <w:sz w:val="24"/>
        </w:rPr>
        <w:t>发布省</w:t>
      </w:r>
      <w:proofErr w:type="gramEnd"/>
      <w:r>
        <w:rPr>
          <w:rFonts w:ascii="Times New Roman" w:eastAsiaTheme="minorEastAsia" w:hAnsiTheme="minorEastAsia" w:cs="宋体" w:hint="eastAsia"/>
          <w:sz w:val="24"/>
        </w:rPr>
        <w:t>地方标准</w:t>
      </w:r>
      <w:r>
        <w:rPr>
          <w:rFonts w:ascii="Times New Roman" w:eastAsiaTheme="minorEastAsia" w:hAnsiTheme="minorEastAsia" w:cs="宋体" w:hint="eastAsia"/>
          <w:sz w:val="24"/>
        </w:rPr>
        <w:t>2</w:t>
      </w:r>
      <w:r>
        <w:rPr>
          <w:rFonts w:ascii="Times New Roman" w:eastAsiaTheme="minorEastAsia" w:hAnsiTheme="minorEastAsia" w:cs="宋体" w:hint="eastAsia"/>
          <w:sz w:val="24"/>
        </w:rPr>
        <w:t>项、团体标准</w:t>
      </w:r>
      <w:r>
        <w:rPr>
          <w:rFonts w:ascii="Times New Roman" w:eastAsiaTheme="minorEastAsia" w:hAnsiTheme="minorEastAsia" w:cs="宋体" w:hint="eastAsia"/>
          <w:sz w:val="24"/>
        </w:rPr>
        <w:t>2</w:t>
      </w:r>
      <w:r>
        <w:rPr>
          <w:rFonts w:ascii="Times New Roman" w:eastAsiaTheme="minorEastAsia" w:hAnsiTheme="minorEastAsia" w:cs="宋体" w:hint="eastAsia"/>
          <w:sz w:val="24"/>
        </w:rPr>
        <w:t>项；主编著作</w:t>
      </w:r>
      <w:r>
        <w:rPr>
          <w:rFonts w:ascii="Times New Roman" w:eastAsiaTheme="minorEastAsia" w:hAnsiTheme="minorEastAsia" w:cs="宋体" w:hint="eastAsia"/>
          <w:sz w:val="24"/>
        </w:rPr>
        <w:t>2</w:t>
      </w:r>
      <w:r>
        <w:rPr>
          <w:rFonts w:ascii="Times New Roman" w:eastAsiaTheme="minorEastAsia" w:hAnsiTheme="minorEastAsia" w:cs="宋体" w:hint="eastAsia"/>
          <w:sz w:val="24"/>
        </w:rPr>
        <w:t>部、副主编著作</w:t>
      </w:r>
      <w:r>
        <w:rPr>
          <w:rFonts w:ascii="Times New Roman" w:eastAsiaTheme="minorEastAsia" w:hAnsiTheme="minorEastAsia" w:cs="宋体" w:hint="eastAsia"/>
          <w:sz w:val="24"/>
        </w:rPr>
        <w:t>1</w:t>
      </w:r>
      <w:r>
        <w:rPr>
          <w:rFonts w:ascii="Times New Roman" w:eastAsiaTheme="minorEastAsia" w:hAnsiTheme="minorEastAsia" w:cs="宋体" w:hint="eastAsia"/>
          <w:sz w:val="24"/>
        </w:rPr>
        <w:t>部。成功入选国家人体生物监测项目重点实验室（第三轮第二批）和市医学重点专科卫生检验专科（第十三周期）</w:t>
      </w:r>
      <w:r>
        <w:rPr>
          <w:rFonts w:ascii="Times New Roman" w:eastAsiaTheme="minorEastAsia" w:hAnsiTheme="minorEastAsia" w:cs="宋体" w:hint="eastAsia"/>
          <w:sz w:val="24"/>
        </w:rPr>
        <w:t>。</w:t>
      </w:r>
      <w:r>
        <w:rPr>
          <w:rFonts w:ascii="Times New Roman" w:eastAsiaTheme="minorEastAsia" w:hAnsiTheme="minorEastAsia" w:cs="宋体" w:hint="eastAsia"/>
          <w:sz w:val="24"/>
        </w:rPr>
        <w:t>承办</w:t>
      </w:r>
      <w:r>
        <w:rPr>
          <w:rFonts w:ascii="Times New Roman" w:eastAsiaTheme="minorEastAsia" w:hAnsiTheme="minorEastAsia" w:cs="宋体" w:hint="eastAsia"/>
          <w:sz w:val="24"/>
        </w:rPr>
        <w:t>2024</w:t>
      </w:r>
      <w:r>
        <w:rPr>
          <w:rFonts w:ascii="Times New Roman" w:eastAsiaTheme="minorEastAsia" w:hAnsiTheme="minorEastAsia" w:cs="宋体" w:hint="eastAsia"/>
          <w:sz w:val="24"/>
        </w:rPr>
        <w:t>年公共卫生国际青年学术会议“传染病防控与病原检测”分论坛，组织研究院科研创新项目和强基项目申报，开展</w:t>
      </w:r>
      <w:proofErr w:type="gramStart"/>
      <w:r>
        <w:rPr>
          <w:rFonts w:ascii="Times New Roman" w:eastAsiaTheme="minorEastAsia" w:hAnsiTheme="minorEastAsia" w:cs="宋体" w:hint="eastAsia"/>
          <w:sz w:val="24"/>
        </w:rPr>
        <w:t>全市疾控系统</w:t>
      </w:r>
      <w:proofErr w:type="gramEnd"/>
      <w:r>
        <w:rPr>
          <w:rFonts w:ascii="Times New Roman" w:eastAsiaTheme="minorEastAsia" w:hAnsiTheme="minorEastAsia" w:cs="宋体" w:hint="eastAsia"/>
          <w:sz w:val="24"/>
        </w:rPr>
        <w:t>实验室能力提升专项培训。</w:t>
      </w:r>
      <w:r>
        <w:rPr>
          <w:rFonts w:ascii="Times New Roman" w:eastAsiaTheme="minorEastAsia" w:hAnsiTheme="minorEastAsia" w:cs="宋体" w:hint="eastAsia"/>
          <w:sz w:val="24"/>
        </w:rPr>
        <w:t>不仅如此，中心还</w:t>
      </w:r>
      <w:r>
        <w:rPr>
          <w:rFonts w:ascii="Times New Roman" w:eastAsiaTheme="minorEastAsia" w:hAnsiTheme="minorEastAsia" w:cs="宋体" w:hint="eastAsia"/>
          <w:sz w:val="24"/>
          <w:lang w:bidi="zh-TW"/>
        </w:rPr>
        <w:t>成立</w:t>
      </w:r>
      <w:proofErr w:type="gramStart"/>
      <w:r>
        <w:rPr>
          <w:rFonts w:ascii="Times New Roman" w:eastAsiaTheme="minorEastAsia" w:hAnsiTheme="minorEastAsia" w:cs="宋体" w:hint="eastAsia"/>
          <w:sz w:val="24"/>
          <w:lang w:bidi="zh-TW"/>
        </w:rPr>
        <w:t>医</w:t>
      </w:r>
      <w:proofErr w:type="gramEnd"/>
      <w:r>
        <w:rPr>
          <w:rFonts w:ascii="Times New Roman" w:eastAsiaTheme="minorEastAsia" w:hAnsiTheme="minorEastAsia" w:cs="宋体" w:hint="eastAsia"/>
          <w:sz w:val="24"/>
          <w:lang w:bidi="zh-TW"/>
        </w:rPr>
        <w:t>防融合管理领导小组和</w:t>
      </w:r>
      <w:proofErr w:type="gramStart"/>
      <w:r>
        <w:rPr>
          <w:rFonts w:ascii="Times New Roman" w:eastAsiaTheme="minorEastAsia" w:hAnsiTheme="minorEastAsia" w:cs="宋体" w:hint="eastAsia"/>
          <w:sz w:val="24"/>
          <w:lang w:bidi="zh-TW"/>
        </w:rPr>
        <w:t>疾控</w:t>
      </w:r>
      <w:proofErr w:type="gramEnd"/>
      <w:r>
        <w:rPr>
          <w:rFonts w:ascii="Times New Roman" w:eastAsiaTheme="minorEastAsia" w:hAnsiTheme="minorEastAsia" w:cs="宋体" w:hint="eastAsia"/>
          <w:sz w:val="24"/>
          <w:lang w:bidi="zh-TW"/>
        </w:rPr>
        <w:t>监督员领导小组，为</w:t>
      </w:r>
      <w:proofErr w:type="gramStart"/>
      <w:r>
        <w:rPr>
          <w:rFonts w:ascii="Times New Roman" w:eastAsiaTheme="minorEastAsia" w:hAnsiTheme="minorEastAsia" w:cs="宋体" w:hint="eastAsia"/>
          <w:sz w:val="24"/>
          <w:lang w:bidi="zh-TW"/>
        </w:rPr>
        <w:t>医</w:t>
      </w:r>
      <w:proofErr w:type="gramEnd"/>
      <w:r>
        <w:rPr>
          <w:rFonts w:ascii="Times New Roman" w:eastAsiaTheme="minorEastAsia" w:hAnsiTheme="minorEastAsia" w:cs="宋体" w:hint="eastAsia"/>
          <w:sz w:val="24"/>
          <w:lang w:bidi="zh-TW"/>
        </w:rPr>
        <w:t>防协同工作提供组织机构保障。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196" w:firstLine="472"/>
        <w:jc w:val="left"/>
        <w:rPr>
          <w:rFonts w:ascii="Times New Roman" w:eastAsiaTheme="minorEastAsia" w:hAnsi="Times New Roman" w:cs="Times New Roman"/>
          <w:b/>
          <w:sz w:val="24"/>
          <w:lang w:val="en-US" w:eastAsia="zh-CN" w:bidi="ar-SA"/>
        </w:rPr>
      </w:pPr>
      <w:r>
        <w:rPr>
          <w:rFonts w:ascii="Times New Roman" w:eastAsiaTheme="minorEastAsia" w:hAnsiTheme="minorEastAsia" w:cs="Times New Roman"/>
          <w:b/>
          <w:sz w:val="24"/>
          <w:lang w:val="en-US" w:eastAsia="zh-CN" w:bidi="ar-SA"/>
        </w:rPr>
        <w:t>四</w:t>
      </w:r>
      <w:r>
        <w:rPr>
          <w:rFonts w:ascii="Times New Roman" w:eastAsiaTheme="minorEastAsia" w:hAnsiTheme="minorEastAsia" w:cs="Times New Roman" w:hint="eastAsia"/>
          <w:b/>
          <w:sz w:val="24"/>
          <w:lang w:val="en-US" w:eastAsia="zh-CN" w:bidi="ar-SA"/>
        </w:rPr>
        <w:t>、</w:t>
      </w:r>
      <w:r>
        <w:rPr>
          <w:rFonts w:ascii="Times New Roman" w:eastAsiaTheme="minorEastAsia" w:hAnsiTheme="minorEastAsia" w:cs="Times New Roman"/>
          <w:b/>
          <w:sz w:val="24"/>
          <w:lang w:val="en-US" w:eastAsia="zh-CN" w:bidi="ar-SA"/>
        </w:rPr>
        <w:t>存在问题</w:t>
      </w:r>
      <w:r>
        <w:rPr>
          <w:rFonts w:ascii="Times New Roman" w:eastAsiaTheme="minorEastAsia" w:hAnsiTheme="minorEastAsia" w:cs="Times New Roman" w:hint="eastAsia"/>
          <w:b/>
          <w:sz w:val="24"/>
          <w:lang w:val="en-US" w:eastAsia="zh-CN" w:bidi="ar-SA"/>
        </w:rPr>
        <w:t>及</w:t>
      </w:r>
      <w:r>
        <w:rPr>
          <w:rFonts w:ascii="Times New Roman" w:eastAsiaTheme="minorEastAsia" w:hAnsiTheme="minorEastAsia" w:cs="Times New Roman"/>
          <w:b/>
          <w:sz w:val="24"/>
          <w:lang w:val="en-US" w:eastAsia="zh-CN" w:bidi="ar-SA"/>
        </w:rPr>
        <w:t>原因分析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Theme="minorEastAsia" w:hAnsiTheme="minorEastAsia"/>
          <w:bCs/>
          <w:sz w:val="24"/>
          <w:lang w:val="en-US" w:eastAsia="zh-CN"/>
        </w:rPr>
      </w:pPr>
      <w:r>
        <w:rPr>
          <w:rFonts w:ascii="Times New Roman" w:eastAsiaTheme="minorEastAsia" w:hAnsi="Times New Roman" w:hint="eastAsia"/>
          <w:bCs/>
          <w:sz w:val="24"/>
          <w:lang w:eastAsia="zh-CN"/>
        </w:rPr>
        <w:t>预算编制与工作任务无法做到完全匹配，资金执行率无法达到</w:t>
      </w:r>
      <w:r>
        <w:rPr>
          <w:rFonts w:ascii="Times New Roman" w:eastAsiaTheme="minorEastAsia" w:hAnsi="Times New Roman" w:hint="eastAsia"/>
          <w:bCs/>
          <w:sz w:val="24"/>
          <w:lang w:eastAsia="zh-CN"/>
        </w:rPr>
        <w:t>100%</w:t>
      </w:r>
      <w:r>
        <w:rPr>
          <w:rFonts w:ascii="Times New Roman" w:eastAsiaTheme="minorEastAsia" w:hAnsi="Times New Roman" w:hint="eastAsia"/>
          <w:bCs/>
          <w:sz w:val="24"/>
          <w:lang w:eastAsia="zh-CN"/>
        </w:rPr>
        <w:t>。</w:t>
      </w:r>
      <w:r>
        <w:rPr>
          <w:rFonts w:ascii="Times New Roman" w:eastAsiaTheme="minorEastAsia" w:hAnsi="Times New Roman" w:hint="eastAsia"/>
          <w:bCs/>
          <w:sz w:val="24"/>
          <w:lang w:val="en-US" w:eastAsia="zh-CN"/>
        </w:rPr>
        <w:t>原因是年中有职工辞职或是离退休人员去世，导致相关人员指标和公用经费指标有余额，项目支出预算中设备采购或是工程按照合同约定留有尾款暂未支付。</w:t>
      </w:r>
    </w:p>
    <w:p w:rsidR="00E93863" w:rsidRDefault="00566010">
      <w:pPr>
        <w:pStyle w:val="Other1"/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五、有关建议</w:t>
      </w:r>
    </w:p>
    <w:p w:rsidR="00E93863" w:rsidRDefault="00566010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宋体"/>
          <w:sz w:val="24"/>
          <w:lang w:bidi="zh-TW"/>
        </w:rPr>
      </w:pPr>
      <w:r>
        <w:rPr>
          <w:rFonts w:ascii="Times New Roman" w:eastAsiaTheme="minorEastAsia" w:hAnsi="Times New Roman" w:cs="宋体" w:hint="eastAsia"/>
          <w:sz w:val="24"/>
          <w:lang w:bidi="zh-TW"/>
        </w:rPr>
        <w:t>一是健全制度体系，夯实部门管理基础</w:t>
      </w:r>
      <w:bookmarkStart w:id="0" w:name="_Toc51047547"/>
      <w:bookmarkStart w:id="1" w:name="_Toc23140014"/>
      <w:bookmarkStart w:id="2" w:name="_Toc80742371"/>
      <w:r>
        <w:rPr>
          <w:rFonts w:ascii="Times New Roman" w:eastAsiaTheme="minorEastAsia" w:hAnsi="Times New Roman" w:cs="宋体" w:hint="eastAsia"/>
          <w:sz w:val="24"/>
          <w:lang w:bidi="zh-TW"/>
        </w:rPr>
        <w:t>；二是严格绩效执行，</w:t>
      </w:r>
      <w:bookmarkEnd w:id="0"/>
      <w:bookmarkEnd w:id="1"/>
      <w:r>
        <w:rPr>
          <w:rFonts w:ascii="Times New Roman" w:eastAsiaTheme="minorEastAsia" w:hAnsi="Times New Roman" w:cs="宋体" w:hint="eastAsia"/>
          <w:sz w:val="24"/>
          <w:lang w:bidi="zh-TW"/>
        </w:rPr>
        <w:t>构建高效运行机制</w:t>
      </w:r>
      <w:bookmarkStart w:id="3" w:name="_Toc80742372"/>
      <w:bookmarkEnd w:id="2"/>
      <w:r>
        <w:rPr>
          <w:rFonts w:ascii="Times New Roman" w:eastAsiaTheme="minorEastAsia" w:hAnsi="Times New Roman" w:cs="宋体" w:hint="eastAsia"/>
          <w:sz w:val="24"/>
          <w:lang w:bidi="zh-TW"/>
        </w:rPr>
        <w:t>；三是加强资金管理，强化整体管理规范</w:t>
      </w:r>
      <w:bookmarkStart w:id="4" w:name="_Toc80742373"/>
      <w:bookmarkEnd w:id="3"/>
      <w:r>
        <w:rPr>
          <w:rFonts w:ascii="Times New Roman" w:eastAsiaTheme="minorEastAsia" w:hAnsi="Times New Roman" w:cs="宋体" w:hint="eastAsia"/>
          <w:sz w:val="24"/>
          <w:lang w:bidi="zh-TW"/>
        </w:rPr>
        <w:t>；四是细化绩效目标，提升资金绩效</w:t>
      </w:r>
      <w:bookmarkEnd w:id="4"/>
      <w:r>
        <w:rPr>
          <w:rFonts w:ascii="Times New Roman" w:eastAsiaTheme="minorEastAsia" w:hAnsi="Times New Roman" w:cs="宋体" w:hint="eastAsia"/>
          <w:sz w:val="24"/>
          <w:lang w:bidi="zh-TW"/>
        </w:rPr>
        <w:t>。</w:t>
      </w:r>
    </w:p>
    <w:p w:rsidR="00E93863" w:rsidRDefault="00E93863">
      <w:pPr>
        <w:spacing w:line="360" w:lineRule="auto"/>
        <w:rPr>
          <w:rFonts w:ascii="Times New Roman" w:eastAsiaTheme="minorEastAsia" w:hAnsiTheme="minorEastAsia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566010">
      <w:pPr>
        <w:spacing w:line="360" w:lineRule="auto"/>
        <w:ind w:firstLineChars="2100" w:firstLine="5060"/>
        <w:rPr>
          <w:rFonts w:ascii="Times New Roman" w:eastAsiaTheme="minorEastAsia" w:hAnsi="Times New Roman" w:cs="宋体"/>
          <w:b/>
          <w:sz w:val="24"/>
          <w:lang w:bidi="en-US"/>
        </w:rPr>
      </w:pPr>
      <w:r>
        <w:rPr>
          <w:rFonts w:ascii="Times New Roman" w:eastAsiaTheme="minorEastAsia" w:hAnsiTheme="minorEastAsia" w:cs="宋体" w:hint="eastAsia"/>
          <w:b/>
          <w:sz w:val="24"/>
          <w:lang w:bidi="en-US"/>
        </w:rPr>
        <w:t>南京市疾病预防控制中心</w:t>
      </w:r>
    </w:p>
    <w:p w:rsidR="00E93863" w:rsidRDefault="00566010">
      <w:pPr>
        <w:spacing w:line="360" w:lineRule="auto"/>
        <w:ind w:firstLineChars="200" w:firstLine="482"/>
        <w:rPr>
          <w:rFonts w:ascii="Times New Roman" w:eastAsiaTheme="minorEastAsia" w:hAnsi="Times New Roman" w:cs="宋体"/>
          <w:b/>
          <w:sz w:val="24"/>
          <w:lang w:bidi="en-US"/>
        </w:rPr>
      </w:pPr>
      <w:r>
        <w:rPr>
          <w:rFonts w:ascii="Times New Roman" w:eastAsiaTheme="minorEastAsia" w:hAnsi="Times New Roman" w:cs="宋体" w:hint="eastAsia"/>
          <w:b/>
          <w:sz w:val="24"/>
          <w:lang w:bidi="en-US"/>
        </w:rPr>
        <w:t xml:space="preserve">                                         202</w:t>
      </w:r>
      <w:r>
        <w:rPr>
          <w:rFonts w:ascii="Times New Roman" w:eastAsiaTheme="minorEastAsia" w:hAnsi="Times New Roman" w:cs="宋体" w:hint="eastAsia"/>
          <w:b/>
          <w:sz w:val="24"/>
          <w:lang w:bidi="en-US"/>
        </w:rPr>
        <w:t>5</w:t>
      </w:r>
      <w:r>
        <w:rPr>
          <w:rFonts w:ascii="Times New Roman" w:eastAsiaTheme="minorEastAsia" w:hAnsiTheme="minorEastAsia" w:cs="宋体" w:hint="eastAsia"/>
          <w:b/>
          <w:sz w:val="24"/>
          <w:lang w:bidi="en-US"/>
        </w:rPr>
        <w:t>年</w:t>
      </w:r>
      <w:r>
        <w:rPr>
          <w:rFonts w:ascii="Times New Roman" w:eastAsiaTheme="minorEastAsia" w:hAnsi="Times New Roman" w:cs="宋体" w:hint="eastAsia"/>
          <w:b/>
          <w:sz w:val="24"/>
          <w:lang w:bidi="en-US"/>
        </w:rPr>
        <w:t>6</w:t>
      </w:r>
      <w:r>
        <w:rPr>
          <w:rFonts w:ascii="Times New Roman" w:eastAsiaTheme="minorEastAsia" w:hAnsiTheme="minorEastAsia" w:cs="宋体" w:hint="eastAsia"/>
          <w:b/>
          <w:sz w:val="24"/>
          <w:lang w:bidi="en-US"/>
        </w:rPr>
        <w:t>月</w:t>
      </w:r>
      <w:r>
        <w:rPr>
          <w:rFonts w:ascii="Times New Roman" w:eastAsiaTheme="minorEastAsia" w:hAnsi="Times New Roman" w:cs="宋体" w:hint="eastAsia"/>
          <w:b/>
          <w:sz w:val="24"/>
          <w:lang w:bidi="en-US"/>
        </w:rPr>
        <w:t>24</w:t>
      </w:r>
      <w:r>
        <w:rPr>
          <w:rFonts w:ascii="Times New Roman" w:eastAsiaTheme="minorEastAsia" w:hAnsiTheme="minorEastAsia" w:cs="宋体" w:hint="eastAsia"/>
          <w:b/>
          <w:sz w:val="24"/>
          <w:lang w:bidi="en-US"/>
        </w:rPr>
        <w:t>日</w:t>
      </w: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24"/>
          <w:lang w:bidi="en-US"/>
        </w:rPr>
      </w:pPr>
    </w:p>
    <w:p w:rsidR="00E93863" w:rsidRDefault="00E93863" w:rsidP="00E93863">
      <w:pPr>
        <w:pStyle w:val="1"/>
        <w:spacing w:afterLines="50" w:line="600" w:lineRule="exact"/>
        <w:ind w:firstLineChars="0" w:firstLine="0"/>
        <w:jc w:val="left"/>
        <w:rPr>
          <w:rFonts w:ascii="Times New Roman" w:eastAsiaTheme="minorEastAsia" w:hAnsiTheme="minorEastAsia" w:cs="方正仿宋_GBK"/>
          <w:b/>
          <w:sz w:val="24"/>
          <w:szCs w:val="24"/>
        </w:rPr>
      </w:pPr>
    </w:p>
    <w:p w:rsidR="00E93863" w:rsidRDefault="00E93863" w:rsidP="00E93863">
      <w:pPr>
        <w:pStyle w:val="1"/>
        <w:spacing w:afterLines="50" w:line="600" w:lineRule="exact"/>
        <w:ind w:firstLineChars="0" w:firstLine="0"/>
        <w:jc w:val="left"/>
        <w:rPr>
          <w:rFonts w:ascii="Times New Roman" w:eastAsiaTheme="minorEastAsia" w:hAnsiTheme="minorEastAsia" w:cs="方正仿宋_GBK"/>
          <w:b/>
          <w:sz w:val="24"/>
          <w:szCs w:val="24"/>
        </w:rPr>
      </w:pPr>
    </w:p>
    <w:p w:rsidR="00E93863" w:rsidRDefault="00E93863">
      <w:pPr>
        <w:spacing w:line="360" w:lineRule="auto"/>
        <w:rPr>
          <w:rFonts w:ascii="Times New Roman" w:eastAsiaTheme="minorEastAsia" w:hAnsiTheme="minorEastAsia" w:cs="宋体"/>
          <w:sz w:val="24"/>
          <w:lang w:bidi="en-US"/>
        </w:rPr>
      </w:pPr>
    </w:p>
    <w:p w:rsidR="00E93863" w:rsidRDefault="00566010">
      <w:pPr>
        <w:spacing w:line="360" w:lineRule="auto"/>
        <w:rPr>
          <w:rFonts w:ascii="Times New Roman" w:eastAsiaTheme="minorEastAsia" w:hAnsi="Times New Roman" w:cs="宋体"/>
          <w:b/>
          <w:sz w:val="24"/>
          <w:lang w:bidi="en-US"/>
        </w:rPr>
      </w:pPr>
      <w:r>
        <w:rPr>
          <w:rFonts w:ascii="Times New Roman" w:eastAsiaTheme="minorEastAsia" w:hAnsiTheme="minorEastAsia" w:cs="宋体"/>
          <w:b/>
          <w:sz w:val="24"/>
          <w:lang w:bidi="en-US"/>
        </w:rPr>
        <w:t>附件</w:t>
      </w:r>
      <w:r>
        <w:rPr>
          <w:rFonts w:ascii="Times New Roman" w:eastAsiaTheme="minorEastAsia" w:hAnsiTheme="minorEastAsia" w:cs="宋体" w:hint="eastAsia"/>
          <w:b/>
          <w:sz w:val="24"/>
          <w:lang w:bidi="en-US"/>
        </w:rPr>
        <w:t>1</w:t>
      </w:r>
      <w:r>
        <w:rPr>
          <w:rFonts w:ascii="Times New Roman" w:eastAsiaTheme="minorEastAsia" w:hAnsiTheme="minorEastAsia" w:cs="宋体"/>
          <w:b/>
          <w:sz w:val="24"/>
          <w:lang w:bidi="en-US"/>
        </w:rPr>
        <w:t>：指标体系得分情况</w:t>
      </w:r>
      <w:bookmarkStart w:id="5" w:name="_GoBack"/>
      <w:bookmarkEnd w:id="5"/>
    </w:p>
    <w:tbl>
      <w:tblPr>
        <w:tblStyle w:val="a7"/>
        <w:tblpPr w:leftFromText="180" w:rightFromText="180" w:vertAnchor="text" w:horzAnchor="page" w:tblpX="1327" w:tblpY="711"/>
        <w:tblOverlap w:val="never"/>
        <w:tblW w:w="9284" w:type="dxa"/>
        <w:tblLayout w:type="fixed"/>
        <w:tblLook w:val="04A0"/>
      </w:tblPr>
      <w:tblGrid>
        <w:gridCol w:w="742"/>
        <w:gridCol w:w="976"/>
        <w:gridCol w:w="954"/>
        <w:gridCol w:w="1491"/>
        <w:gridCol w:w="1153"/>
        <w:gridCol w:w="1227"/>
        <w:gridCol w:w="1341"/>
        <w:gridCol w:w="860"/>
        <w:gridCol w:w="540"/>
      </w:tblGrid>
      <w:tr w:rsidR="00E93863">
        <w:trPr>
          <w:trHeight w:val="1804"/>
        </w:trPr>
        <w:tc>
          <w:tcPr>
            <w:tcW w:w="742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一级指标</w:t>
            </w:r>
          </w:p>
        </w:tc>
        <w:tc>
          <w:tcPr>
            <w:tcW w:w="976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二级指标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三级指标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指标</w:t>
            </w:r>
            <w:r>
              <w:rPr>
                <w:rFonts w:ascii="黑体" w:eastAsia="黑体" w:hAnsi="黑体" w:hint="eastAsia"/>
                <w:szCs w:val="21"/>
              </w:rPr>
              <w:t>解释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评分标准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指标目标值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全年实际完成值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指标分值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实际得分</w:t>
            </w:r>
          </w:p>
        </w:tc>
      </w:tr>
      <w:tr w:rsidR="00E93863">
        <w:tc>
          <w:tcPr>
            <w:tcW w:w="742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部门决策</w:t>
            </w:r>
          </w:p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计划制定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工作计划制定健全性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部门是否建立了决策制度，决策制度是否符合上级要求，是否科学可行。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科学可行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中长期规划制定健全性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决策流程设计是否依据充分，是否规范。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规范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目标设定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绩效指标明确性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部门是否具有明确的中长期规划。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有中长期规划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明确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明确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绩效目标合理性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部门中长期规划是否与部门职能相匹配。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与部门职能相匹配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合理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合理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>3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部门预算编制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预算编制规范性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内部预算编制是否有相应的制度保障，流程设计是否科学规范，执行是否有效。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内部预算编制</w:t>
            </w:r>
            <w:r>
              <w:rPr>
                <w:rFonts w:hint="eastAsia"/>
                <w:sz w:val="18"/>
                <w:szCs w:val="18"/>
              </w:rPr>
              <w:t>是否有</w:t>
            </w:r>
            <w:r>
              <w:rPr>
                <w:rFonts w:hint="eastAsia"/>
                <w:sz w:val="18"/>
                <w:szCs w:val="18"/>
              </w:rPr>
              <w:t>相应的制度保障，流程设计科学规范，执行有效。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预算编制科学性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预算编制科学性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预算编制科学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</w:tr>
      <w:tr w:rsidR="00E93863">
        <w:tc>
          <w:tcPr>
            <w:tcW w:w="742" w:type="dxa"/>
            <w:vMerge w:val="restart"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部门管理</w:t>
            </w:r>
          </w:p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预算执行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非税收入预算完成率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非税收入预算完成率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完成率</w:t>
            </w:r>
            <w:r>
              <w:rPr>
                <w:rFonts w:hint="eastAsia"/>
                <w:sz w:val="18"/>
                <w:szCs w:val="18"/>
              </w:rPr>
              <w:t>100%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政府采购执行率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政府采购执行率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执行进度</w:t>
            </w:r>
            <w:r>
              <w:rPr>
                <w:rFonts w:hint="eastAsia"/>
                <w:sz w:val="18"/>
                <w:szCs w:val="18"/>
              </w:rPr>
              <w:t>100%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80.66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“三公”经费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变动率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“三公”经费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变动率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“三公”经费</w:t>
            </w:r>
            <w:r>
              <w:rPr>
                <w:rFonts w:hint="eastAsia"/>
                <w:sz w:val="18"/>
                <w:szCs w:val="18"/>
              </w:rPr>
              <w:t>不超标。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公用经费控制率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公用经费控制率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公用经费控制率≤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结转结余率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结转结余率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结转结余率＝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预算执行率＝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5.34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rPr>
          <w:trHeight w:val="90"/>
        </w:trPr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预算调整率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预算调整率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预算调整率＝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支付进度符合率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支付进度符合率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支付进度符合率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=100%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预算管理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预算管理制度健全性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预算管理制度健全性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收支管理相关制度健全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非税收入管理合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非税收入管理合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非税收入管理合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预决算信息公开度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预决算信息公开度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按要求公开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基础信息完善性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基础信息完善性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信息完善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完善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完善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绩效管理覆盖率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绩效管理覆盖率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绩效管理覆盖率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=100%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资金使用合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资金使用合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严格按照制度执行收支管理各项工作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资产管理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资产管理规范性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资产管理规范性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资产管理规范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固定资产利用率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固定资产是否有闲置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固定资产利用率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=100%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资产管理制度健全性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部门资产管理制度建设情况。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部门资产管理制度健全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项目管理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项目管理制度执行规范性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项目管理制度执行规范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项目管理制度执行规范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项目管理制度健全性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项目管理制度健全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项目管理制度健全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人员管理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人员管理制度执行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有效性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人员管理制度执行有效性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人员管理制度执行有效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有效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有效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在职人员控制率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在职人员控制率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在职人员控制率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人员管理制度健全性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人员管理制度健全性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人员管理制度健全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机构建设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业务学习与培训及时完成率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业务学习与培训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学习完成率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纪检监察工作有效性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纪检监察工作</w:t>
            </w:r>
            <w:r>
              <w:rPr>
                <w:rFonts w:hint="eastAsia"/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有效性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纪检监察工作</w:t>
            </w:r>
            <w:r>
              <w:rPr>
                <w:rFonts w:hint="eastAsia"/>
                <w:sz w:val="18"/>
                <w:szCs w:val="18"/>
              </w:rPr>
              <w:t>开展效果反馈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组织建设工作及时完成率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组织建设工作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组织建设工作及时完成率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0.5</w:t>
            </w:r>
          </w:p>
        </w:tc>
      </w:tr>
      <w:tr w:rsidR="00E93863">
        <w:tc>
          <w:tcPr>
            <w:tcW w:w="742" w:type="dxa"/>
            <w:vMerge w:val="restart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部门履职</w:t>
            </w:r>
          </w:p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976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突发公共卫生事件应急处置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发公共卫生事件应急准备、报告与预警、应急事件处理与评估</w:t>
            </w:r>
          </w:p>
          <w:p w:rsidR="00E93863" w:rsidRDefault="00E9386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卫生应急能力提升、开展新冠及突发事件舆情监测、卫生应急日常运行、疫情防控常态化保障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ascii="Segoe UI" w:eastAsia="Segoe UI" w:hAnsi="Segoe UI" w:cs="Segoe UI" w:hint="eastAsia"/>
                <w:color w:val="606266"/>
                <w:sz w:val="18"/>
                <w:szCs w:val="18"/>
                <w:shd w:val="clear" w:color="auto" w:fill="F0F0F0"/>
              </w:rPr>
              <w:t>应急处置及时率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10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疾病预防与控制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预防接种宣传率、对抗病毒治疗病人及感染者随访干预率等相关重点工作指标完成率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食品安全风险监测、慢性非传染病防治、饮用水监测、慢性病防治、血吸虫及寄生虫防治、慢性传染病防治、免疫规划工作、精神卫生工作、结核病防治、艾滋病防治工作等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各业务科室相关业务指标</w:t>
            </w:r>
            <w:r>
              <w:rPr>
                <w:rFonts w:hint="eastAsia"/>
                <w:sz w:val="18"/>
                <w:szCs w:val="18"/>
              </w:rPr>
              <w:t>完成情况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10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</w:pPr>
          </w:p>
        </w:tc>
        <w:tc>
          <w:tcPr>
            <w:tcW w:w="976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卫生检测与评价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检验项目开展率；实验室质控覆盖率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对医疗机构急性传染病，特别是不明原因急性传染病的监测和检测，为新发再发传染病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防控、诊断和治疗提供高水平的技术支撑，重点提升突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发公共卫生事件检测“一锤定音”能力。进行病原微生物快速检测、病原菌毒种管理及溯源、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化学中毒检测、饮水检测等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实验室检测能力提升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</w:pPr>
            <w:r>
              <w:rPr>
                <w:rFonts w:cs="Calibri"/>
                <w:color w:val="000000"/>
                <w:kern w:val="0"/>
                <w:szCs w:val="21"/>
              </w:rPr>
              <w:t>10</w:t>
            </w:r>
          </w:p>
        </w:tc>
      </w:tr>
      <w:tr w:rsidR="00E93863">
        <w:tc>
          <w:tcPr>
            <w:tcW w:w="742" w:type="dxa"/>
            <w:vMerge w:val="restart"/>
            <w:vAlign w:val="center"/>
          </w:tcPr>
          <w:p w:rsidR="00E93863" w:rsidRDefault="00566010">
            <w:pPr>
              <w:jc w:val="center"/>
            </w:pPr>
            <w:r>
              <w:rPr>
                <w:rFonts w:hint="eastAsia"/>
              </w:rPr>
              <w:lastRenderedPageBreak/>
              <w:t>履职绩效</w:t>
            </w:r>
          </w:p>
          <w:p w:rsidR="00E93863" w:rsidRDefault="0056601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976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</w:t>
            </w:r>
          </w:p>
        </w:tc>
        <w:tc>
          <w:tcPr>
            <w:tcW w:w="954" w:type="dxa"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疾病预防及控制，保障人民健康，促进社会和谐发展的作用。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疾病预防及控制，保障人民健康，促进社会和谐发展的作用较大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较大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较大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</w:pPr>
          </w:p>
        </w:tc>
        <w:tc>
          <w:tcPr>
            <w:tcW w:w="976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</w:t>
            </w:r>
          </w:p>
        </w:tc>
        <w:tc>
          <w:tcPr>
            <w:tcW w:w="954" w:type="dxa"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社会公众及受益群众满意度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社会公众及受益群众满意度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&gt;90%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&gt;95%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&gt;95%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E93863">
        <w:tc>
          <w:tcPr>
            <w:tcW w:w="742" w:type="dxa"/>
            <w:vMerge w:val="restart"/>
            <w:vAlign w:val="center"/>
          </w:tcPr>
          <w:p w:rsidR="00E93863" w:rsidRDefault="00566010">
            <w:pPr>
              <w:jc w:val="center"/>
            </w:pPr>
            <w:r>
              <w:rPr>
                <w:rFonts w:hint="eastAsia"/>
              </w:rPr>
              <w:t>可持续发展能力</w:t>
            </w:r>
          </w:p>
          <w:p w:rsidR="00E93863" w:rsidRDefault="0056601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976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信息化建设情况</w:t>
            </w:r>
          </w:p>
        </w:tc>
        <w:tc>
          <w:tcPr>
            <w:tcW w:w="954" w:type="dxa"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智慧疾控系统</w:t>
            </w:r>
            <w:proofErr w:type="gramEnd"/>
            <w:r>
              <w:rPr>
                <w:rFonts w:hint="eastAsia"/>
                <w:sz w:val="18"/>
                <w:szCs w:val="18"/>
              </w:rPr>
              <w:t>运行稳定性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智慧疾控系统</w:t>
            </w:r>
            <w:proofErr w:type="gramEnd"/>
            <w:r>
              <w:rPr>
                <w:rFonts w:hint="eastAsia"/>
                <w:sz w:val="18"/>
                <w:szCs w:val="18"/>
              </w:rPr>
              <w:t>运行稳定性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稳定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稳定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</w:pPr>
          </w:p>
        </w:tc>
        <w:tc>
          <w:tcPr>
            <w:tcW w:w="976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人力资源建设情况</w:t>
            </w:r>
          </w:p>
        </w:tc>
        <w:tc>
          <w:tcPr>
            <w:tcW w:w="954" w:type="dxa"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人才培养能力（包括公共卫生医师实操技能、流行病学调查能力等）提供长期人才储备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人才培养能力（包括公共卫生医师实操技能、流行病学调查能力等）提供长期人才储备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93863">
        <w:tc>
          <w:tcPr>
            <w:tcW w:w="742" w:type="dxa"/>
            <w:vMerge/>
            <w:vAlign w:val="center"/>
          </w:tcPr>
          <w:p w:rsidR="00E93863" w:rsidRDefault="00E93863">
            <w:pPr>
              <w:jc w:val="center"/>
            </w:pPr>
          </w:p>
        </w:tc>
        <w:tc>
          <w:tcPr>
            <w:tcW w:w="976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部门创新情况</w:t>
            </w:r>
          </w:p>
        </w:tc>
        <w:tc>
          <w:tcPr>
            <w:tcW w:w="954" w:type="dxa"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对科技进步、新技术引进、出版专业著书和教材等奖励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对科技进步、新技术引进、出版专业著书和教材等奖励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93863">
        <w:tc>
          <w:tcPr>
            <w:tcW w:w="742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加减分项</w:t>
            </w:r>
          </w:p>
        </w:tc>
        <w:tc>
          <w:tcPr>
            <w:tcW w:w="976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加分项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部门（单位）受到国务院、省级、市级嘉奖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部门获得各级奖项。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单位获得各级奖项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单位获得各级奖项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ascii="Times New Roman" w:eastAsiaTheme="minorEastAsia" w:hAnsiTheme="minorEastAsia" w:hint="eastAsia"/>
                <w:sz w:val="18"/>
                <w:szCs w:val="18"/>
              </w:rPr>
              <w:t>荣获江苏省传染病疫情处置职业技能竞赛团体一等奖、江苏省预防接种技能竞赛团体一等奖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93863">
        <w:tc>
          <w:tcPr>
            <w:tcW w:w="742" w:type="dxa"/>
            <w:vAlign w:val="center"/>
          </w:tcPr>
          <w:p w:rsidR="00E93863" w:rsidRDefault="00E9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减分项</w:t>
            </w:r>
          </w:p>
        </w:tc>
        <w:tc>
          <w:tcPr>
            <w:tcW w:w="954" w:type="dxa"/>
            <w:vAlign w:val="center"/>
          </w:tcPr>
          <w:p w:rsidR="00E93863" w:rsidRDefault="005660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部门（单位）或工作人员违法违纪</w:t>
            </w:r>
          </w:p>
        </w:tc>
        <w:tc>
          <w:tcPr>
            <w:tcW w:w="149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部门工作人员因违法违纪而受到处理情况。</w:t>
            </w:r>
          </w:p>
        </w:tc>
        <w:tc>
          <w:tcPr>
            <w:tcW w:w="1153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工作人员因违法违纪而受到处理情况</w:t>
            </w:r>
          </w:p>
        </w:tc>
        <w:tc>
          <w:tcPr>
            <w:tcW w:w="1227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工作人员因违法违纪而受到处理情况</w:t>
            </w:r>
          </w:p>
        </w:tc>
        <w:tc>
          <w:tcPr>
            <w:tcW w:w="1341" w:type="dxa"/>
            <w:vAlign w:val="center"/>
          </w:tcPr>
          <w:p w:rsidR="00E93863" w:rsidRDefault="005660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6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:rsidR="00E93863" w:rsidRDefault="00566010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:rsidR="00E93863" w:rsidRDefault="00E93863">
      <w:pPr>
        <w:spacing w:line="360" w:lineRule="auto"/>
        <w:rPr>
          <w:rFonts w:ascii="Times New Roman" w:eastAsiaTheme="minorEastAsia" w:hAnsi="Times New Roman" w:cs="宋体"/>
          <w:sz w:val="18"/>
          <w:szCs w:val="18"/>
          <w:lang w:bidi="en-US"/>
        </w:rPr>
      </w:pPr>
    </w:p>
    <w:sectPr w:rsidR="00E93863" w:rsidSect="00E93863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863" w:rsidRDefault="00E93863" w:rsidP="00E93863">
      <w:r>
        <w:separator/>
      </w:r>
    </w:p>
  </w:endnote>
  <w:endnote w:type="continuationSeparator" w:id="1">
    <w:p w:rsidR="00E93863" w:rsidRDefault="00E93863" w:rsidP="00E93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337141"/>
    </w:sdtPr>
    <w:sdtContent>
      <w:p w:rsidR="00E93863" w:rsidRDefault="00E93863">
        <w:pPr>
          <w:pStyle w:val="a5"/>
          <w:jc w:val="center"/>
        </w:pPr>
        <w:r w:rsidRPr="00E93863">
          <w:fldChar w:fldCharType="begin"/>
        </w:r>
        <w:r w:rsidR="00566010">
          <w:instrText xml:space="preserve"> PAGE   \* MERGEFORMAT </w:instrText>
        </w:r>
        <w:r w:rsidRPr="00E93863">
          <w:fldChar w:fldCharType="separate"/>
        </w:r>
        <w:r w:rsidR="00566010" w:rsidRPr="0056601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93863" w:rsidRDefault="00E93863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863" w:rsidRDefault="00E93863" w:rsidP="00E93863">
      <w:r>
        <w:separator/>
      </w:r>
    </w:p>
  </w:footnote>
  <w:footnote w:type="continuationSeparator" w:id="1">
    <w:p w:rsidR="00E93863" w:rsidRDefault="00E93863" w:rsidP="00E93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D7085"/>
    <w:multiLevelType w:val="singleLevel"/>
    <w:tmpl w:val="804D708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B8A967"/>
    <w:multiLevelType w:val="singleLevel"/>
    <w:tmpl w:val="09B8A967"/>
    <w:lvl w:ilvl="0">
      <w:start w:val="2"/>
      <w:numFmt w:val="decimal"/>
      <w:suff w:val="nothing"/>
      <w:lvlText w:val="%1、"/>
      <w:lvlJc w:val="left"/>
      <w:pPr>
        <w:ind w:left="15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VjZmYyY2E2NmQ0N2M1OTU5OTU1MWI1NmRkNGRhMDAifQ=="/>
  </w:docVars>
  <w:rsids>
    <w:rsidRoot w:val="00365F39"/>
    <w:rsid w:val="000371A1"/>
    <w:rsid w:val="000449FB"/>
    <w:rsid w:val="0007175B"/>
    <w:rsid w:val="000935C2"/>
    <w:rsid w:val="000957A2"/>
    <w:rsid w:val="000B073D"/>
    <w:rsid w:val="000B5758"/>
    <w:rsid w:val="000C4B6B"/>
    <w:rsid w:val="000D573D"/>
    <w:rsid w:val="00106A63"/>
    <w:rsid w:val="001369AE"/>
    <w:rsid w:val="00150CC1"/>
    <w:rsid w:val="001B3C05"/>
    <w:rsid w:val="001C0FA9"/>
    <w:rsid w:val="001C481E"/>
    <w:rsid w:val="001D012F"/>
    <w:rsid w:val="001E42C3"/>
    <w:rsid w:val="001F1A08"/>
    <w:rsid w:val="00236E20"/>
    <w:rsid w:val="0024793C"/>
    <w:rsid w:val="00247A0A"/>
    <w:rsid w:val="00260642"/>
    <w:rsid w:val="002702E8"/>
    <w:rsid w:val="0027356A"/>
    <w:rsid w:val="002C47F8"/>
    <w:rsid w:val="003050C2"/>
    <w:rsid w:val="0031646B"/>
    <w:rsid w:val="00320DF0"/>
    <w:rsid w:val="0035295A"/>
    <w:rsid w:val="00365F39"/>
    <w:rsid w:val="00366404"/>
    <w:rsid w:val="00381040"/>
    <w:rsid w:val="003A4D52"/>
    <w:rsid w:val="003E2ED2"/>
    <w:rsid w:val="003E34CF"/>
    <w:rsid w:val="004054F3"/>
    <w:rsid w:val="00425906"/>
    <w:rsid w:val="00426BF7"/>
    <w:rsid w:val="00431767"/>
    <w:rsid w:val="00457A47"/>
    <w:rsid w:val="004870B7"/>
    <w:rsid w:val="00487C62"/>
    <w:rsid w:val="004B3438"/>
    <w:rsid w:val="004F4432"/>
    <w:rsid w:val="0052674F"/>
    <w:rsid w:val="00540C49"/>
    <w:rsid w:val="005618AD"/>
    <w:rsid w:val="00566010"/>
    <w:rsid w:val="005A3F4C"/>
    <w:rsid w:val="005F1C39"/>
    <w:rsid w:val="0061549F"/>
    <w:rsid w:val="00660118"/>
    <w:rsid w:val="006924F2"/>
    <w:rsid w:val="00696249"/>
    <w:rsid w:val="006C3CA2"/>
    <w:rsid w:val="007074D6"/>
    <w:rsid w:val="007344E8"/>
    <w:rsid w:val="007763EE"/>
    <w:rsid w:val="00777E20"/>
    <w:rsid w:val="007D1C90"/>
    <w:rsid w:val="007E59CF"/>
    <w:rsid w:val="00813B3F"/>
    <w:rsid w:val="0082081B"/>
    <w:rsid w:val="008324BC"/>
    <w:rsid w:val="00872264"/>
    <w:rsid w:val="008F1F90"/>
    <w:rsid w:val="00917DB1"/>
    <w:rsid w:val="00934680"/>
    <w:rsid w:val="00946519"/>
    <w:rsid w:val="0098751A"/>
    <w:rsid w:val="009D5FD0"/>
    <w:rsid w:val="009F4A12"/>
    <w:rsid w:val="00A30305"/>
    <w:rsid w:val="00A45C3A"/>
    <w:rsid w:val="00A55C1F"/>
    <w:rsid w:val="00A81C4B"/>
    <w:rsid w:val="00A954ED"/>
    <w:rsid w:val="00AD68C6"/>
    <w:rsid w:val="00AE1382"/>
    <w:rsid w:val="00AF3170"/>
    <w:rsid w:val="00B074AA"/>
    <w:rsid w:val="00B1446E"/>
    <w:rsid w:val="00B34147"/>
    <w:rsid w:val="00B55F93"/>
    <w:rsid w:val="00B77AA9"/>
    <w:rsid w:val="00B77B1B"/>
    <w:rsid w:val="00B83D21"/>
    <w:rsid w:val="00BB47B2"/>
    <w:rsid w:val="00BE081D"/>
    <w:rsid w:val="00BF792F"/>
    <w:rsid w:val="00C1655C"/>
    <w:rsid w:val="00C2309D"/>
    <w:rsid w:val="00C30C67"/>
    <w:rsid w:val="00C66404"/>
    <w:rsid w:val="00C6760C"/>
    <w:rsid w:val="00C727A6"/>
    <w:rsid w:val="00CF1249"/>
    <w:rsid w:val="00D45F07"/>
    <w:rsid w:val="00D8590C"/>
    <w:rsid w:val="00D96539"/>
    <w:rsid w:val="00DA7B58"/>
    <w:rsid w:val="00DB0C4F"/>
    <w:rsid w:val="00DE2F8F"/>
    <w:rsid w:val="00DE3ED4"/>
    <w:rsid w:val="00DF04C4"/>
    <w:rsid w:val="00E10B32"/>
    <w:rsid w:val="00E10D7C"/>
    <w:rsid w:val="00E26952"/>
    <w:rsid w:val="00E32A14"/>
    <w:rsid w:val="00E3447B"/>
    <w:rsid w:val="00E67AA9"/>
    <w:rsid w:val="00E8038C"/>
    <w:rsid w:val="00E90335"/>
    <w:rsid w:val="00E90E8E"/>
    <w:rsid w:val="00E93863"/>
    <w:rsid w:val="00E94B8F"/>
    <w:rsid w:val="00EA1CAD"/>
    <w:rsid w:val="00ED00E2"/>
    <w:rsid w:val="00F3484C"/>
    <w:rsid w:val="00F46FB3"/>
    <w:rsid w:val="00F56213"/>
    <w:rsid w:val="00F934AD"/>
    <w:rsid w:val="00FA3834"/>
    <w:rsid w:val="00FB5328"/>
    <w:rsid w:val="00FF2ECA"/>
    <w:rsid w:val="00FF3C67"/>
    <w:rsid w:val="012C648A"/>
    <w:rsid w:val="016D4D19"/>
    <w:rsid w:val="01D76D69"/>
    <w:rsid w:val="0204742C"/>
    <w:rsid w:val="022E26FA"/>
    <w:rsid w:val="02353A89"/>
    <w:rsid w:val="025C7268"/>
    <w:rsid w:val="02D832EF"/>
    <w:rsid w:val="02F705E5"/>
    <w:rsid w:val="031276C5"/>
    <w:rsid w:val="032D29B2"/>
    <w:rsid w:val="03C9092D"/>
    <w:rsid w:val="03FB660C"/>
    <w:rsid w:val="04075569"/>
    <w:rsid w:val="047B14FB"/>
    <w:rsid w:val="049E640F"/>
    <w:rsid w:val="04AA4039"/>
    <w:rsid w:val="059748DF"/>
    <w:rsid w:val="05D2339D"/>
    <w:rsid w:val="068734D9"/>
    <w:rsid w:val="069021AB"/>
    <w:rsid w:val="06E31492"/>
    <w:rsid w:val="071B6980"/>
    <w:rsid w:val="07BA7CF2"/>
    <w:rsid w:val="07BC2556"/>
    <w:rsid w:val="07E5385B"/>
    <w:rsid w:val="08220435"/>
    <w:rsid w:val="085A5FF7"/>
    <w:rsid w:val="08956545"/>
    <w:rsid w:val="08D2784E"/>
    <w:rsid w:val="0A3E6950"/>
    <w:rsid w:val="0C007E1A"/>
    <w:rsid w:val="0C0D4C1D"/>
    <w:rsid w:val="0C831895"/>
    <w:rsid w:val="0CD10852"/>
    <w:rsid w:val="0CF119BF"/>
    <w:rsid w:val="0D435E2D"/>
    <w:rsid w:val="0D5C5C9E"/>
    <w:rsid w:val="0D894C72"/>
    <w:rsid w:val="0E804DC7"/>
    <w:rsid w:val="0E8813E4"/>
    <w:rsid w:val="0EA24E67"/>
    <w:rsid w:val="0ED75B8B"/>
    <w:rsid w:val="0ED939EE"/>
    <w:rsid w:val="0F276507"/>
    <w:rsid w:val="107F2075"/>
    <w:rsid w:val="10E979DD"/>
    <w:rsid w:val="11114052"/>
    <w:rsid w:val="115B2DE0"/>
    <w:rsid w:val="12725CF9"/>
    <w:rsid w:val="12F901BB"/>
    <w:rsid w:val="13D07DE5"/>
    <w:rsid w:val="14D83BE4"/>
    <w:rsid w:val="14E05AD6"/>
    <w:rsid w:val="15932B49"/>
    <w:rsid w:val="159722DE"/>
    <w:rsid w:val="16083A81"/>
    <w:rsid w:val="16E11854"/>
    <w:rsid w:val="1715539C"/>
    <w:rsid w:val="177406E3"/>
    <w:rsid w:val="1785399D"/>
    <w:rsid w:val="17A70B2D"/>
    <w:rsid w:val="180F2C66"/>
    <w:rsid w:val="186849AA"/>
    <w:rsid w:val="18D0084B"/>
    <w:rsid w:val="1925260F"/>
    <w:rsid w:val="192A0327"/>
    <w:rsid w:val="19742C91"/>
    <w:rsid w:val="19DD10D5"/>
    <w:rsid w:val="1A2024D1"/>
    <w:rsid w:val="1A7A7E33"/>
    <w:rsid w:val="1B770817"/>
    <w:rsid w:val="1B7F1479"/>
    <w:rsid w:val="1BD40DE0"/>
    <w:rsid w:val="1BF71534"/>
    <w:rsid w:val="1C330BE1"/>
    <w:rsid w:val="1CAA0C51"/>
    <w:rsid w:val="1CDE7333"/>
    <w:rsid w:val="1CF3254E"/>
    <w:rsid w:val="1D655C57"/>
    <w:rsid w:val="1E6944E1"/>
    <w:rsid w:val="1EB51D82"/>
    <w:rsid w:val="1F6359D1"/>
    <w:rsid w:val="1F9C17B9"/>
    <w:rsid w:val="1FC55FF4"/>
    <w:rsid w:val="20532176"/>
    <w:rsid w:val="205347B6"/>
    <w:rsid w:val="207E30EF"/>
    <w:rsid w:val="208E7FE5"/>
    <w:rsid w:val="20D34741"/>
    <w:rsid w:val="20E221CD"/>
    <w:rsid w:val="21125850"/>
    <w:rsid w:val="215B636E"/>
    <w:rsid w:val="21B03ED8"/>
    <w:rsid w:val="21C02FA5"/>
    <w:rsid w:val="22DC634D"/>
    <w:rsid w:val="23C32CB0"/>
    <w:rsid w:val="23ED1676"/>
    <w:rsid w:val="246102B6"/>
    <w:rsid w:val="25136610"/>
    <w:rsid w:val="25521948"/>
    <w:rsid w:val="2587776A"/>
    <w:rsid w:val="25B6018D"/>
    <w:rsid w:val="264F1503"/>
    <w:rsid w:val="268169ED"/>
    <w:rsid w:val="270311B0"/>
    <w:rsid w:val="270A69E3"/>
    <w:rsid w:val="27287A38"/>
    <w:rsid w:val="276A5BAC"/>
    <w:rsid w:val="278252FD"/>
    <w:rsid w:val="27E32B6F"/>
    <w:rsid w:val="282835C4"/>
    <w:rsid w:val="28E6559F"/>
    <w:rsid w:val="293843F1"/>
    <w:rsid w:val="29C76E0D"/>
    <w:rsid w:val="2A692E2E"/>
    <w:rsid w:val="2AA72225"/>
    <w:rsid w:val="2B2847D3"/>
    <w:rsid w:val="2B56387F"/>
    <w:rsid w:val="2BCE6307"/>
    <w:rsid w:val="2C0C2905"/>
    <w:rsid w:val="2C2B5E42"/>
    <w:rsid w:val="2C934D84"/>
    <w:rsid w:val="2DBF5BB3"/>
    <w:rsid w:val="2E322806"/>
    <w:rsid w:val="2E901DDA"/>
    <w:rsid w:val="2F0E7DE7"/>
    <w:rsid w:val="2F3537D0"/>
    <w:rsid w:val="2F3E1F94"/>
    <w:rsid w:val="302112FE"/>
    <w:rsid w:val="30EE1123"/>
    <w:rsid w:val="31401E01"/>
    <w:rsid w:val="31715D54"/>
    <w:rsid w:val="32292AB1"/>
    <w:rsid w:val="32781F8C"/>
    <w:rsid w:val="34150233"/>
    <w:rsid w:val="350C3926"/>
    <w:rsid w:val="35301D0A"/>
    <w:rsid w:val="359A53D6"/>
    <w:rsid w:val="37753E3F"/>
    <w:rsid w:val="37763FB2"/>
    <w:rsid w:val="389425B0"/>
    <w:rsid w:val="38DF694F"/>
    <w:rsid w:val="3A7162A1"/>
    <w:rsid w:val="3A992100"/>
    <w:rsid w:val="3A9A0597"/>
    <w:rsid w:val="3A9D6640"/>
    <w:rsid w:val="3AB735CC"/>
    <w:rsid w:val="3AEC4BD5"/>
    <w:rsid w:val="3AF61A35"/>
    <w:rsid w:val="3B213012"/>
    <w:rsid w:val="3BF75330"/>
    <w:rsid w:val="3D913D54"/>
    <w:rsid w:val="3D9721F6"/>
    <w:rsid w:val="3DA9265A"/>
    <w:rsid w:val="3DAC62DC"/>
    <w:rsid w:val="3DCD3858"/>
    <w:rsid w:val="3E167563"/>
    <w:rsid w:val="3E476329"/>
    <w:rsid w:val="3E4800C5"/>
    <w:rsid w:val="3F337B2B"/>
    <w:rsid w:val="3F486B54"/>
    <w:rsid w:val="3F8E4EE0"/>
    <w:rsid w:val="3FD17C46"/>
    <w:rsid w:val="402533FE"/>
    <w:rsid w:val="40A8309D"/>
    <w:rsid w:val="40F736DC"/>
    <w:rsid w:val="41147451"/>
    <w:rsid w:val="41335C41"/>
    <w:rsid w:val="41AF24ED"/>
    <w:rsid w:val="41CC20D8"/>
    <w:rsid w:val="420F355E"/>
    <w:rsid w:val="42102563"/>
    <w:rsid w:val="42381199"/>
    <w:rsid w:val="42AB1FDF"/>
    <w:rsid w:val="42CE43EB"/>
    <w:rsid w:val="42D86940"/>
    <w:rsid w:val="43F03D78"/>
    <w:rsid w:val="4483541E"/>
    <w:rsid w:val="44A21BB1"/>
    <w:rsid w:val="44B32E98"/>
    <w:rsid w:val="44BF09B5"/>
    <w:rsid w:val="4508235C"/>
    <w:rsid w:val="454F11A5"/>
    <w:rsid w:val="459B24CE"/>
    <w:rsid w:val="45DB34E7"/>
    <w:rsid w:val="45F154A6"/>
    <w:rsid w:val="45FB77CB"/>
    <w:rsid w:val="469E079D"/>
    <w:rsid w:val="46FC5126"/>
    <w:rsid w:val="47EF7803"/>
    <w:rsid w:val="48014C3E"/>
    <w:rsid w:val="486B0273"/>
    <w:rsid w:val="49572E36"/>
    <w:rsid w:val="496F55C6"/>
    <w:rsid w:val="49B129F8"/>
    <w:rsid w:val="49B4758A"/>
    <w:rsid w:val="49FE1F7F"/>
    <w:rsid w:val="4A7466C3"/>
    <w:rsid w:val="4B8D02B2"/>
    <w:rsid w:val="4BFA02B2"/>
    <w:rsid w:val="4C601B75"/>
    <w:rsid w:val="4CB4507F"/>
    <w:rsid w:val="4DAD256A"/>
    <w:rsid w:val="4E14456D"/>
    <w:rsid w:val="4E35353A"/>
    <w:rsid w:val="4E63591D"/>
    <w:rsid w:val="4F1B0EDE"/>
    <w:rsid w:val="4F3D589F"/>
    <w:rsid w:val="4F4C1097"/>
    <w:rsid w:val="4F962D07"/>
    <w:rsid w:val="500C04DD"/>
    <w:rsid w:val="51764AF1"/>
    <w:rsid w:val="517F3566"/>
    <w:rsid w:val="5281374D"/>
    <w:rsid w:val="53000B16"/>
    <w:rsid w:val="538708F0"/>
    <w:rsid w:val="53C136E4"/>
    <w:rsid w:val="53D55AFF"/>
    <w:rsid w:val="54A031D9"/>
    <w:rsid w:val="54CC6F19"/>
    <w:rsid w:val="552819B1"/>
    <w:rsid w:val="553B44D4"/>
    <w:rsid w:val="554314A1"/>
    <w:rsid w:val="55DC479F"/>
    <w:rsid w:val="562C25BD"/>
    <w:rsid w:val="562E034B"/>
    <w:rsid w:val="56862440"/>
    <w:rsid w:val="56A25A40"/>
    <w:rsid w:val="57A06F8E"/>
    <w:rsid w:val="57CF47E6"/>
    <w:rsid w:val="58402191"/>
    <w:rsid w:val="58515CF5"/>
    <w:rsid w:val="5889335C"/>
    <w:rsid w:val="58BA52C3"/>
    <w:rsid w:val="59414679"/>
    <w:rsid w:val="598F17F9"/>
    <w:rsid w:val="59E25D7E"/>
    <w:rsid w:val="59E44CEE"/>
    <w:rsid w:val="5A3317D1"/>
    <w:rsid w:val="5A332B09"/>
    <w:rsid w:val="5A376E19"/>
    <w:rsid w:val="5A4E4A2C"/>
    <w:rsid w:val="5A794FC4"/>
    <w:rsid w:val="5CAC6E06"/>
    <w:rsid w:val="5CD910B5"/>
    <w:rsid w:val="5D5F6439"/>
    <w:rsid w:val="5D6B1820"/>
    <w:rsid w:val="5DFB0858"/>
    <w:rsid w:val="5E9652BC"/>
    <w:rsid w:val="5FA04B6E"/>
    <w:rsid w:val="609B42F5"/>
    <w:rsid w:val="617A1B7C"/>
    <w:rsid w:val="61C9336F"/>
    <w:rsid w:val="633C772F"/>
    <w:rsid w:val="635D78BF"/>
    <w:rsid w:val="640E58A3"/>
    <w:rsid w:val="64370110"/>
    <w:rsid w:val="646F0D8E"/>
    <w:rsid w:val="647B0A49"/>
    <w:rsid w:val="6556582E"/>
    <w:rsid w:val="656F7435"/>
    <w:rsid w:val="660364FC"/>
    <w:rsid w:val="666176C6"/>
    <w:rsid w:val="66666A8A"/>
    <w:rsid w:val="66D043EF"/>
    <w:rsid w:val="672C653A"/>
    <w:rsid w:val="67450EBF"/>
    <w:rsid w:val="67A27F96"/>
    <w:rsid w:val="68B265C7"/>
    <w:rsid w:val="68B910F3"/>
    <w:rsid w:val="69EC63C5"/>
    <w:rsid w:val="6A42138B"/>
    <w:rsid w:val="6B32367C"/>
    <w:rsid w:val="6B99345E"/>
    <w:rsid w:val="6BCE228F"/>
    <w:rsid w:val="6BDC4305"/>
    <w:rsid w:val="6C1D6559"/>
    <w:rsid w:val="6C887103"/>
    <w:rsid w:val="6CA24145"/>
    <w:rsid w:val="6D323B6A"/>
    <w:rsid w:val="6D796B0C"/>
    <w:rsid w:val="6DB80A63"/>
    <w:rsid w:val="6E113B98"/>
    <w:rsid w:val="6E294BA8"/>
    <w:rsid w:val="6E926C2C"/>
    <w:rsid w:val="6EB02CC6"/>
    <w:rsid w:val="6EED7D49"/>
    <w:rsid w:val="6F044DBD"/>
    <w:rsid w:val="6F4F27B2"/>
    <w:rsid w:val="6F62308B"/>
    <w:rsid w:val="6FB3719D"/>
    <w:rsid w:val="6FC30AAA"/>
    <w:rsid w:val="6FE3584C"/>
    <w:rsid w:val="70161521"/>
    <w:rsid w:val="70910BA8"/>
    <w:rsid w:val="710F044A"/>
    <w:rsid w:val="713C0338"/>
    <w:rsid w:val="714359B5"/>
    <w:rsid w:val="71D06929"/>
    <w:rsid w:val="71FA5DAC"/>
    <w:rsid w:val="726B5B54"/>
    <w:rsid w:val="72B93F0C"/>
    <w:rsid w:val="72F73F0F"/>
    <w:rsid w:val="730B4C41"/>
    <w:rsid w:val="733A0A1E"/>
    <w:rsid w:val="734A37EF"/>
    <w:rsid w:val="735E7467"/>
    <w:rsid w:val="73842CE6"/>
    <w:rsid w:val="742064CB"/>
    <w:rsid w:val="7434641A"/>
    <w:rsid w:val="74BB0CC3"/>
    <w:rsid w:val="75232716"/>
    <w:rsid w:val="752E5C10"/>
    <w:rsid w:val="75907192"/>
    <w:rsid w:val="768725EE"/>
    <w:rsid w:val="773A3D09"/>
    <w:rsid w:val="77B5517C"/>
    <w:rsid w:val="78AD3EB1"/>
    <w:rsid w:val="79F673A7"/>
    <w:rsid w:val="79F7129C"/>
    <w:rsid w:val="7AB92D2F"/>
    <w:rsid w:val="7BDE5B16"/>
    <w:rsid w:val="7BF22E42"/>
    <w:rsid w:val="7CA13F21"/>
    <w:rsid w:val="7CB2178C"/>
    <w:rsid w:val="7D7D04EA"/>
    <w:rsid w:val="7E4521F8"/>
    <w:rsid w:val="7EA82A5E"/>
    <w:rsid w:val="7EBA751C"/>
    <w:rsid w:val="7F1644AB"/>
    <w:rsid w:val="7F623E3B"/>
    <w:rsid w:val="7FF3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9386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9386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93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E93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938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E9386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93863"/>
    <w:rPr>
      <w:sz w:val="18"/>
      <w:szCs w:val="18"/>
    </w:rPr>
  </w:style>
  <w:style w:type="paragraph" w:customStyle="1" w:styleId="Other1">
    <w:name w:val="Other|1"/>
    <w:basedOn w:val="a"/>
    <w:qFormat/>
    <w:rsid w:val="00E93863"/>
    <w:rPr>
      <w:rFonts w:ascii="宋体" w:hAnsi="宋体" w:cs="宋体"/>
      <w:lang w:val="zh-TW" w:eastAsia="zh-TW" w:bidi="zh-TW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93863"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qFormat/>
    <w:rsid w:val="00E93863"/>
    <w:rPr>
      <w:rFonts w:ascii="Times New Roman" w:hAnsi="Times New Roman" w:cs="Times New Roman" w:hint="default"/>
      <w:b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E93863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E93863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E9386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">
    <w:name w:val="日期 Char"/>
    <w:basedOn w:val="a0"/>
    <w:link w:val="a3"/>
    <w:uiPriority w:val="99"/>
    <w:semiHidden/>
    <w:qFormat/>
    <w:rsid w:val="00E93863"/>
    <w:rPr>
      <w:rFonts w:ascii="Calibri" w:hAnsi="Calibri"/>
      <w:kern w:val="2"/>
      <w:sz w:val="21"/>
      <w:szCs w:val="24"/>
    </w:rPr>
  </w:style>
  <w:style w:type="paragraph" w:customStyle="1" w:styleId="1">
    <w:name w:val="正文标准1"/>
    <w:basedOn w:val="a"/>
    <w:next w:val="a"/>
    <w:uiPriority w:val="99"/>
    <w:qFormat/>
    <w:rsid w:val="00E93863"/>
    <w:pPr>
      <w:adjustRightInd w:val="0"/>
      <w:snapToGrid w:val="0"/>
      <w:spacing w:line="560" w:lineRule="exact"/>
      <w:ind w:firstLineChars="200" w:firstLine="640"/>
    </w:pPr>
    <w:rPr>
      <w:rFonts w:eastAsia="仿宋_GB2312" w:cs="Calibri"/>
      <w:sz w:val="32"/>
      <w:szCs w:val="32"/>
    </w:rPr>
  </w:style>
  <w:style w:type="character" w:customStyle="1" w:styleId="a8">
    <w:name w:val="南京正文 字符"/>
    <w:link w:val="a9"/>
    <w:qFormat/>
    <w:rsid w:val="00E93863"/>
    <w:rPr>
      <w:rFonts w:eastAsia="仿宋"/>
      <w:sz w:val="32"/>
      <w:szCs w:val="28"/>
      <w:lang w:val="zh-CN"/>
    </w:rPr>
  </w:style>
  <w:style w:type="paragraph" w:customStyle="1" w:styleId="a9">
    <w:name w:val="南京正文"/>
    <w:basedOn w:val="a"/>
    <w:link w:val="a8"/>
    <w:qFormat/>
    <w:rsid w:val="00E93863"/>
    <w:pPr>
      <w:spacing w:line="560" w:lineRule="exact"/>
      <w:ind w:firstLineChars="200" w:firstLine="200"/>
    </w:pPr>
    <w:rPr>
      <w:rFonts w:ascii="Times New Roman" w:eastAsia="仿宋" w:hAnsi="Times New Roman"/>
      <w:kern w:val="0"/>
      <w:sz w:val="32"/>
      <w:szCs w:val="2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758E-BDA6-4669-964E-9F8032637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993</Words>
  <Characters>5666</Characters>
  <Application>Microsoft Office Word</Application>
  <DocSecurity>0</DocSecurity>
  <Lines>47</Lines>
  <Paragraphs>13</Paragraphs>
  <ScaleCrop>false</ScaleCrop>
  <Company>Microsoft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35</cp:revision>
  <cp:lastPrinted>2023-05-16T02:05:00Z</cp:lastPrinted>
  <dcterms:created xsi:type="dcterms:W3CDTF">2022-06-17T02:43:00Z</dcterms:created>
  <dcterms:modified xsi:type="dcterms:W3CDTF">2025-10-16T08:59:00Z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60DD681985FC42DC8B37E176FA9D67C0_13</vt:lpwstr>
  </property>
  <property fmtid="{D5CDD505-2E9C-101B-9397-08002B2CF9AE}" pid="4" name="KSOTemplateDocerSaveRecord">
    <vt:lpwstr>eyJoZGlkIjoiYmUwNjFhYTQ5ODU2ODZmMjRlNjBhOGQ2MTRiNDRiNGUiLCJ1c2VySWQiOiIyMjUyNTAyMTMifQ==</vt:lpwstr>
  </property>
</Properties>
</file>