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654" w:rsidRDefault="002321B0">
      <w:pPr>
        <w:jc w:val="center"/>
        <w:rPr>
          <w:rFonts w:ascii="黑体" w:eastAsia="黑体" w:hAnsi="黑体"/>
          <w:b/>
          <w:sz w:val="44"/>
          <w:szCs w:val="44"/>
        </w:rPr>
      </w:pPr>
      <w:bookmarkStart w:id="0" w:name="_Toc413586940"/>
      <w:r>
        <w:rPr>
          <w:rFonts w:ascii="黑体" w:eastAsia="黑体" w:hAnsi="黑体" w:hint="eastAsia"/>
          <w:b/>
          <w:sz w:val="44"/>
          <w:szCs w:val="44"/>
        </w:rPr>
        <w:t>南京市卫生健康委员会</w:t>
      </w:r>
    </w:p>
    <w:p w:rsidR="000C4654" w:rsidRDefault="002321B0">
      <w:pPr>
        <w:jc w:val="center"/>
        <w:rPr>
          <w:rFonts w:ascii="黑体" w:eastAsia="黑体" w:hAnsi="黑体"/>
          <w:b/>
          <w:sz w:val="44"/>
          <w:szCs w:val="44"/>
        </w:rPr>
      </w:pPr>
      <w:r>
        <w:rPr>
          <w:rFonts w:ascii="黑体" w:eastAsia="黑体" w:hAnsi="黑体" w:hint="eastAsia"/>
          <w:b/>
          <w:sz w:val="44"/>
          <w:szCs w:val="44"/>
        </w:rPr>
        <w:t>2024度部门整体支出绩效评价报告</w:t>
      </w:r>
    </w:p>
    <w:p w:rsidR="000C4654" w:rsidRDefault="000C4654">
      <w:pPr>
        <w:jc w:val="center"/>
        <w:rPr>
          <w:rFonts w:ascii="黑体" w:eastAsia="黑体" w:hAnsi="黑体"/>
          <w:b/>
          <w:sz w:val="44"/>
          <w:szCs w:val="44"/>
        </w:rPr>
      </w:pPr>
    </w:p>
    <w:bookmarkEnd w:id="0"/>
    <w:p w:rsidR="000C4654" w:rsidRDefault="002321B0">
      <w:pPr>
        <w:spacing w:line="360" w:lineRule="auto"/>
        <w:ind w:firstLineChars="200" w:firstLine="640"/>
        <w:rPr>
          <w:rFonts w:ascii="仿宋_GB2312" w:eastAsia="仿宋_GB2312"/>
          <w:sz w:val="32"/>
          <w:szCs w:val="32"/>
        </w:rPr>
      </w:pPr>
      <w:r>
        <w:rPr>
          <w:rFonts w:ascii="仿宋_GB2312" w:eastAsia="仿宋_GB2312" w:hint="eastAsia"/>
          <w:sz w:val="32"/>
          <w:szCs w:val="32"/>
        </w:rPr>
        <w:t>为全面推进预算绩效管理，强化部门支出责任，促进部门从整体上提升预算绩效管理水平，保障部门更好地履行职责，南京市卫生健康委员会（以下简称“市卫健委”）根据南京</w:t>
      </w:r>
      <w:r>
        <w:rPr>
          <w:rFonts w:ascii="仿宋" w:eastAsia="仿宋" w:hAnsi="仿宋" w:hint="eastAsia"/>
          <w:sz w:val="32"/>
          <w:szCs w:val="32"/>
        </w:rPr>
        <w:t>市</w:t>
      </w:r>
      <w:r>
        <w:rPr>
          <w:rFonts w:ascii="仿宋_GB2312" w:eastAsia="仿宋_GB2312" w:hint="eastAsia"/>
          <w:sz w:val="32"/>
          <w:szCs w:val="32"/>
        </w:rPr>
        <w:t>财政局《关于印发2024年南京市市级预算部门（单位）绩效管理工作要求的通知》等文件的相关要求，经过前期准备、评价指标研发、数据采集与核查、综合评价与分析等几个阶段，形成部门整体支出绩效评价报告，现将结果报告如下：</w:t>
      </w:r>
    </w:p>
    <w:p w:rsidR="000C4654" w:rsidRDefault="002321B0">
      <w:pPr>
        <w:pStyle w:val="1"/>
        <w:spacing w:before="0" w:after="0" w:line="600" w:lineRule="exact"/>
        <w:ind w:firstLineChars="200" w:firstLine="640"/>
        <w:rPr>
          <w:rFonts w:ascii="黑体" w:eastAsia="黑体" w:hAnsi="黑体"/>
          <w:b w:val="0"/>
          <w:sz w:val="32"/>
          <w:szCs w:val="32"/>
        </w:rPr>
      </w:pPr>
      <w:bookmarkStart w:id="1" w:name="_Toc24624017"/>
      <w:r>
        <w:rPr>
          <w:rFonts w:ascii="黑体" w:eastAsia="黑体" w:hAnsi="黑体" w:hint="eastAsia"/>
          <w:b w:val="0"/>
          <w:sz w:val="32"/>
          <w:szCs w:val="32"/>
        </w:rPr>
        <w:t>一、部门概况</w:t>
      </w:r>
      <w:bookmarkEnd w:id="1"/>
    </w:p>
    <w:p w:rsidR="000C4654" w:rsidRDefault="002321B0">
      <w:pPr>
        <w:pStyle w:val="2"/>
        <w:spacing w:before="0" w:after="0" w:line="600" w:lineRule="exact"/>
        <w:ind w:firstLineChars="200" w:firstLine="640"/>
        <w:rPr>
          <w:rFonts w:ascii="楷体" w:eastAsia="楷体" w:hAnsi="楷体"/>
          <w:b w:val="0"/>
        </w:rPr>
      </w:pPr>
      <w:bookmarkStart w:id="2" w:name="_Toc24624018"/>
      <w:r>
        <w:rPr>
          <w:rFonts w:ascii="楷体" w:eastAsia="楷体" w:hAnsi="楷体" w:hint="eastAsia"/>
          <w:b w:val="0"/>
        </w:rPr>
        <w:t>（一）部门基本情况</w:t>
      </w:r>
    </w:p>
    <w:p w:rsidR="000C4654" w:rsidRDefault="002321B0">
      <w:pPr>
        <w:spacing w:line="600" w:lineRule="exact"/>
        <w:ind w:firstLineChars="200" w:firstLine="640"/>
        <w:rPr>
          <w:rFonts w:ascii="仿宋_GB2312" w:eastAsia="仿宋_GB2312"/>
          <w:sz w:val="32"/>
          <w:szCs w:val="32"/>
        </w:rPr>
      </w:pPr>
      <w:r>
        <w:rPr>
          <w:rFonts w:ascii="仿宋_GB2312" w:eastAsia="仿宋_GB2312" w:hint="eastAsia"/>
          <w:sz w:val="32"/>
          <w:szCs w:val="32"/>
        </w:rPr>
        <w:t>1.部门职责</w:t>
      </w:r>
      <w:bookmarkEnd w:id="2"/>
    </w:p>
    <w:p w:rsidR="000C4654" w:rsidRDefault="002321B0">
      <w:pPr>
        <w:spacing w:line="600" w:lineRule="exact"/>
        <w:ind w:firstLineChars="200" w:firstLine="640"/>
        <w:rPr>
          <w:rFonts w:ascii="仿宋_GB2312" w:eastAsia="仿宋_GB2312"/>
          <w:sz w:val="32"/>
          <w:szCs w:val="32"/>
        </w:rPr>
      </w:pPr>
      <w:r>
        <w:rPr>
          <w:rFonts w:ascii="仿宋_GB2312" w:eastAsia="仿宋_GB2312" w:hint="eastAsia"/>
          <w:sz w:val="32"/>
          <w:szCs w:val="32"/>
        </w:rPr>
        <w:t>贯彻实施国民健康政策，拟定全市卫生健康事业发展地方性法规、规章草案和政策、规划，制定地方标准和技术规范。负责健康南京战略协调推进工作，研究提出健康南京建设的政策建议、制度措施和职责分工并协调实施。协调推进深化医药卫生体制改革，会同有关部门研究提出深化医药卫生体制改革重大部署、政策、措施的建议。贯彻实施国家中医药法律、法规，拟定并组织实施中医药中长期发展规划、政策措施，并纳入全市卫生健康发展总体规划和战略目标。</w:t>
      </w:r>
      <w:r>
        <w:rPr>
          <w:rFonts w:ascii="仿宋_GB2312" w:eastAsia="仿宋_GB2312" w:hint="eastAsia"/>
          <w:sz w:val="32"/>
          <w:szCs w:val="32"/>
        </w:rPr>
        <w:lastRenderedPageBreak/>
        <w:t>制定并组织落实疾病预防控制规划、免疫规划以及严重危害人民健康公共卫生问题的干预措施。组织拟定并协调落实全市应对人口老龄化政策措施，负责推进全市老年健康服务体系建设和</w:t>
      </w:r>
      <w:proofErr w:type="gramStart"/>
      <w:r>
        <w:rPr>
          <w:rFonts w:ascii="仿宋_GB2312" w:eastAsia="仿宋_GB2312" w:hint="eastAsia"/>
          <w:sz w:val="32"/>
          <w:szCs w:val="32"/>
        </w:rPr>
        <w:t>医养</w:t>
      </w:r>
      <w:proofErr w:type="gramEnd"/>
      <w:r>
        <w:rPr>
          <w:rFonts w:ascii="仿宋_GB2312" w:eastAsia="仿宋_GB2312" w:hint="eastAsia"/>
          <w:sz w:val="32"/>
          <w:szCs w:val="32"/>
        </w:rPr>
        <w:t>结合工作。开展药品使用监测、临床综合评价和短缺药品预警。监督实施国家颁布的医疗机构和医疗服务全行业管理办法、卫生健康专业技术人员资格标准、执业规则和服务规范。拟定职业卫生、放射卫生相关政策、地方标准并组织实施。负责职责范围内的职业卫生、放射卫生、学校卫生、公共场所卫生、饮用水卫生等公共卫生的监督管理。负责计划生育管理和服务工作。指导全市基层卫生健康工作，推进基层医疗卫生、妇幼健康服务体系和全科医生队伍建设。拟定全市卫生健康科技发展规划，组织实施卫生健康相关科研项目。拟定全市卫生健康人才发展规划，指</w:t>
      </w:r>
      <w:r w:rsidR="00A51A83">
        <w:rPr>
          <w:rFonts w:ascii="仿宋_GB2312" w:eastAsia="仿宋_GB2312" w:hint="eastAsia"/>
          <w:sz w:val="32"/>
          <w:szCs w:val="32"/>
        </w:rPr>
        <w:t>导卫生健康人才队伍建设。负责卫生健康宣传、健康教育等工作。负责市</w:t>
      </w:r>
      <w:r>
        <w:rPr>
          <w:rFonts w:ascii="仿宋_GB2312" w:eastAsia="仿宋_GB2312" w:hint="eastAsia"/>
          <w:sz w:val="32"/>
          <w:szCs w:val="32"/>
        </w:rPr>
        <w:t>干部保健委员会确定的保健对象的医疗保健工作。完成市委、市政府交办的其他任务。承担</w:t>
      </w:r>
      <w:proofErr w:type="gramStart"/>
      <w:r>
        <w:rPr>
          <w:rFonts w:ascii="仿宋_GB2312" w:eastAsia="仿宋_GB2312" w:hint="eastAsia"/>
          <w:sz w:val="32"/>
          <w:szCs w:val="32"/>
        </w:rPr>
        <w:t>市促进</w:t>
      </w:r>
      <w:proofErr w:type="gramEnd"/>
      <w:r>
        <w:rPr>
          <w:rFonts w:ascii="仿宋_GB2312" w:eastAsia="仿宋_GB2312" w:hint="eastAsia"/>
          <w:sz w:val="32"/>
          <w:szCs w:val="32"/>
        </w:rPr>
        <w:t>人口长期均衡发展和健康南京建设领导小组的具体工作。加强负责制定并落实传染病防控及公共卫生监督的政策，推进疾病预防控制体系、疫情监测预警体系和</w:t>
      </w:r>
      <w:proofErr w:type="gramStart"/>
      <w:r>
        <w:rPr>
          <w:rFonts w:ascii="仿宋_GB2312" w:eastAsia="仿宋_GB2312" w:hint="eastAsia"/>
          <w:sz w:val="32"/>
          <w:szCs w:val="32"/>
        </w:rPr>
        <w:t>疾控</w:t>
      </w:r>
      <w:proofErr w:type="gramEnd"/>
      <w:r>
        <w:rPr>
          <w:rFonts w:ascii="仿宋_GB2312" w:eastAsia="仿宋_GB2312" w:hint="eastAsia"/>
          <w:sz w:val="32"/>
          <w:szCs w:val="32"/>
        </w:rPr>
        <w:t>科研体系建设，做好公共卫生监督管理、传染病防治监督等职责。</w:t>
      </w:r>
    </w:p>
    <w:p w:rsidR="000C4654" w:rsidRDefault="002321B0">
      <w:pPr>
        <w:spacing w:line="600" w:lineRule="exact"/>
        <w:ind w:firstLineChars="200" w:firstLine="640"/>
        <w:rPr>
          <w:rFonts w:ascii="仿宋_GB2312" w:eastAsia="仿宋_GB2312"/>
          <w:sz w:val="32"/>
          <w:szCs w:val="32"/>
        </w:rPr>
      </w:pPr>
      <w:bookmarkStart w:id="3" w:name="_Toc24624019"/>
      <w:r>
        <w:rPr>
          <w:rFonts w:ascii="仿宋_GB2312" w:eastAsia="仿宋_GB2312" w:hint="eastAsia"/>
          <w:sz w:val="32"/>
          <w:szCs w:val="32"/>
        </w:rPr>
        <w:t>2.部门机构设置</w:t>
      </w:r>
      <w:bookmarkEnd w:id="3"/>
    </w:p>
    <w:p w:rsidR="000C4654" w:rsidRDefault="002321B0">
      <w:pPr>
        <w:spacing w:line="600" w:lineRule="exact"/>
        <w:ind w:firstLineChars="200" w:firstLine="640"/>
        <w:rPr>
          <w:rFonts w:ascii="仿宋_GB2312" w:eastAsia="仿宋_GB2312"/>
          <w:sz w:val="32"/>
          <w:szCs w:val="32"/>
        </w:rPr>
      </w:pPr>
      <w:r>
        <w:rPr>
          <w:rFonts w:ascii="仿宋_GB2312" w:eastAsia="仿宋_GB2312" w:hint="eastAsia"/>
          <w:sz w:val="32"/>
          <w:szCs w:val="32"/>
        </w:rPr>
        <w:t>根据部门职责分工，市</w:t>
      </w:r>
      <w:proofErr w:type="gramStart"/>
      <w:r>
        <w:rPr>
          <w:rFonts w:ascii="仿宋_GB2312" w:eastAsia="仿宋_GB2312" w:hint="eastAsia"/>
          <w:sz w:val="32"/>
          <w:szCs w:val="32"/>
        </w:rPr>
        <w:t>卫健委内设</w:t>
      </w:r>
      <w:proofErr w:type="gramEnd"/>
      <w:r>
        <w:rPr>
          <w:rFonts w:ascii="仿宋_GB2312" w:eastAsia="仿宋_GB2312" w:hint="eastAsia"/>
          <w:sz w:val="32"/>
          <w:szCs w:val="32"/>
        </w:rPr>
        <w:t>办公室（对外合作交流处）、组织人事处、规划发展与信息化处、财务处（审计</w:t>
      </w:r>
      <w:r>
        <w:rPr>
          <w:rFonts w:ascii="仿宋_GB2312" w:eastAsia="仿宋_GB2312" w:hint="eastAsia"/>
          <w:sz w:val="32"/>
          <w:szCs w:val="32"/>
        </w:rPr>
        <w:lastRenderedPageBreak/>
        <w:t>处）、行政审批服务处（法规处）、体制改革处、健康促进处（市爱国卫生运动办公室）、疾病预防控制处、</w:t>
      </w:r>
      <w:proofErr w:type="gramStart"/>
      <w:r>
        <w:rPr>
          <w:rFonts w:ascii="仿宋_GB2312" w:eastAsia="仿宋_GB2312" w:hint="eastAsia"/>
          <w:sz w:val="32"/>
          <w:szCs w:val="32"/>
        </w:rPr>
        <w:t>医</w:t>
      </w:r>
      <w:proofErr w:type="gramEnd"/>
      <w:r>
        <w:rPr>
          <w:rFonts w:ascii="仿宋_GB2312" w:eastAsia="仿宋_GB2312" w:hint="eastAsia"/>
          <w:sz w:val="32"/>
          <w:szCs w:val="32"/>
        </w:rPr>
        <w:t>政</w:t>
      </w:r>
      <w:proofErr w:type="gramStart"/>
      <w:r>
        <w:rPr>
          <w:rFonts w:ascii="仿宋_GB2312" w:eastAsia="仿宋_GB2312" w:hint="eastAsia"/>
          <w:sz w:val="32"/>
          <w:szCs w:val="32"/>
        </w:rPr>
        <w:t>医</w:t>
      </w:r>
      <w:proofErr w:type="gramEnd"/>
      <w:r>
        <w:rPr>
          <w:rFonts w:ascii="仿宋_GB2312" w:eastAsia="仿宋_GB2312" w:hint="eastAsia"/>
          <w:sz w:val="32"/>
          <w:szCs w:val="32"/>
        </w:rPr>
        <w:t>管处、基层卫生健康处、卫生应急办公室（突发公共卫生事件应急指挥中心）、科技教育处、综合监督处、药物政策与基本药物制度处（食品安全标准与检测评估处）、老龄健康处、妇幼健康处、职业健康处、人口监测与家庭发展处、宣传处、中医处、信访与行风建设处、公立医院管理处、市保健办公室、机关党委、离退休干部处。各处</w:t>
      </w:r>
      <w:proofErr w:type="gramStart"/>
      <w:r>
        <w:rPr>
          <w:rFonts w:ascii="仿宋_GB2312" w:eastAsia="仿宋_GB2312" w:hint="eastAsia"/>
          <w:sz w:val="32"/>
          <w:szCs w:val="32"/>
        </w:rPr>
        <w:t>室职能</w:t>
      </w:r>
      <w:proofErr w:type="gramEnd"/>
      <w:r>
        <w:rPr>
          <w:rFonts w:ascii="仿宋_GB2312" w:eastAsia="仿宋_GB2312" w:hint="eastAsia"/>
          <w:sz w:val="32"/>
          <w:szCs w:val="32"/>
        </w:rPr>
        <w:t>详见附件1。</w:t>
      </w:r>
    </w:p>
    <w:p w:rsidR="000C4654" w:rsidRDefault="002321B0">
      <w:pPr>
        <w:spacing w:line="600" w:lineRule="exact"/>
        <w:ind w:firstLineChars="200" w:firstLine="640"/>
        <w:rPr>
          <w:rFonts w:ascii="仿宋_GB2312" w:eastAsia="仿宋_GB2312"/>
          <w:sz w:val="32"/>
          <w:szCs w:val="32"/>
        </w:rPr>
      </w:pPr>
      <w:bookmarkStart w:id="4" w:name="_Toc24624020"/>
      <w:r>
        <w:rPr>
          <w:rFonts w:ascii="仿宋_GB2312" w:eastAsia="仿宋_GB2312" w:hint="eastAsia"/>
          <w:sz w:val="32"/>
          <w:szCs w:val="32"/>
        </w:rPr>
        <w:t>3.部门人员情况</w:t>
      </w:r>
      <w:bookmarkEnd w:id="4"/>
    </w:p>
    <w:p w:rsidR="000C4654" w:rsidRDefault="002321B0">
      <w:pPr>
        <w:spacing w:line="600" w:lineRule="exact"/>
        <w:ind w:firstLineChars="200" w:firstLine="640"/>
        <w:rPr>
          <w:rFonts w:ascii="仿宋_GB2312" w:eastAsia="仿宋_GB2312"/>
          <w:sz w:val="32"/>
          <w:szCs w:val="32"/>
        </w:rPr>
      </w:pPr>
      <w:r>
        <w:rPr>
          <w:rFonts w:ascii="仿宋_GB2312" w:eastAsia="仿宋_GB2312" w:hint="eastAsia"/>
          <w:sz w:val="32"/>
          <w:szCs w:val="32"/>
        </w:rPr>
        <w:t>截至2024年末，市卫</w:t>
      </w:r>
      <w:proofErr w:type="gramStart"/>
      <w:r>
        <w:rPr>
          <w:rFonts w:ascii="仿宋_GB2312" w:eastAsia="仿宋_GB2312" w:hint="eastAsia"/>
          <w:sz w:val="32"/>
          <w:szCs w:val="32"/>
        </w:rPr>
        <w:t>健委财政</w:t>
      </w:r>
      <w:proofErr w:type="gramEnd"/>
      <w:r>
        <w:rPr>
          <w:rFonts w:ascii="仿宋_GB2312" w:eastAsia="仿宋_GB2312" w:hint="eastAsia"/>
          <w:sz w:val="32"/>
          <w:szCs w:val="32"/>
        </w:rPr>
        <w:t>承担人员经费的实有人员275人，其中在职人员126人、离休人员6人、退休人员141人，行政附属人员2人。退休人员退休费由社保中心发放，其他人员经费均由</w:t>
      </w:r>
      <w:r>
        <w:rPr>
          <w:rFonts w:ascii="仿宋_GB2312" w:eastAsia="仿宋_GB2312"/>
          <w:sz w:val="32"/>
          <w:szCs w:val="32"/>
        </w:rPr>
        <w:t>一般公共预算财政拨款（补助）开支</w:t>
      </w:r>
      <w:r>
        <w:rPr>
          <w:rFonts w:ascii="仿宋_GB2312" w:eastAsia="仿宋_GB2312" w:hint="eastAsia"/>
          <w:sz w:val="32"/>
          <w:szCs w:val="32"/>
        </w:rPr>
        <w:t>，详情见下表：</w:t>
      </w:r>
    </w:p>
    <w:p w:rsidR="000C4654" w:rsidRDefault="002321B0">
      <w:pPr>
        <w:pStyle w:val="ab"/>
        <w:rPr>
          <w:rFonts w:ascii="仿宋_GB2312" w:hAnsi="仿宋_GB2312" w:cs="仿宋_GB2312"/>
        </w:rPr>
      </w:pPr>
      <w:r>
        <w:rPr>
          <w:rFonts w:ascii="仿宋_GB2312" w:hAnsi="仿宋_GB2312" w:cs="仿宋_GB2312" w:hint="eastAsia"/>
        </w:rPr>
        <w:t>市卫</w:t>
      </w:r>
      <w:proofErr w:type="gramStart"/>
      <w:r>
        <w:rPr>
          <w:rFonts w:ascii="仿宋_GB2312" w:hAnsi="仿宋_GB2312" w:cs="仿宋_GB2312" w:hint="eastAsia"/>
        </w:rPr>
        <w:t>健委机构</w:t>
      </w:r>
      <w:proofErr w:type="gramEnd"/>
      <w:r>
        <w:rPr>
          <w:rFonts w:ascii="仿宋_GB2312" w:hAnsi="仿宋_GB2312" w:cs="仿宋_GB2312" w:hint="eastAsia"/>
        </w:rPr>
        <w:t>人员情况表</w:t>
      </w:r>
    </w:p>
    <w:p w:rsidR="000C4654" w:rsidRDefault="002321B0">
      <w:pPr>
        <w:pStyle w:val="ab"/>
        <w:jc w:val="right"/>
        <w:rPr>
          <w:sz w:val="21"/>
        </w:rPr>
      </w:pPr>
      <w:r>
        <w:rPr>
          <w:rFonts w:ascii="仿宋_GB2312" w:hAnsi="仿宋_GB2312" w:cs="仿宋_GB2312" w:hint="eastAsia"/>
        </w:rPr>
        <w:t>单位：</w:t>
      </w:r>
      <w:proofErr w:type="gramStart"/>
      <w:r>
        <w:rPr>
          <w:rFonts w:ascii="仿宋_GB2312" w:hAnsi="仿宋_GB2312" w:cs="仿宋_GB2312" w:hint="eastAsia"/>
        </w:rPr>
        <w:t>个</w:t>
      </w:r>
      <w:proofErr w:type="gramEnd"/>
      <w:r>
        <w:rPr>
          <w:rFonts w:ascii="仿宋_GB2312" w:hAnsi="仿宋_GB2312" w:cs="仿宋_GB2312" w:hint="eastAsia"/>
        </w:rPr>
        <w:t>、人</w:t>
      </w:r>
    </w:p>
    <w:tbl>
      <w:tblPr>
        <w:tblW w:w="4999" w:type="pct"/>
        <w:tblBorders>
          <w:top w:val="single" w:sz="4" w:space="0" w:color="000000"/>
          <w:bottom w:val="single" w:sz="4" w:space="0" w:color="000000"/>
          <w:insideH w:val="dotted" w:sz="4" w:space="0" w:color="000000"/>
          <w:insideV w:val="dotted" w:sz="4" w:space="0" w:color="000000"/>
        </w:tblBorders>
        <w:tblCellMar>
          <w:left w:w="0" w:type="dxa"/>
          <w:right w:w="0" w:type="dxa"/>
        </w:tblCellMar>
        <w:tblLook w:val="04A0"/>
      </w:tblPr>
      <w:tblGrid>
        <w:gridCol w:w="1703"/>
        <w:gridCol w:w="4014"/>
        <w:gridCol w:w="2617"/>
      </w:tblGrid>
      <w:tr w:rsidR="000C4654">
        <w:trPr>
          <w:trHeight w:val="454"/>
        </w:trPr>
        <w:tc>
          <w:tcPr>
            <w:tcW w:w="1022" w:type="pct"/>
            <w:tcBorders>
              <w:tl2br w:val="nil"/>
              <w:tr2bl w:val="nil"/>
            </w:tcBorders>
            <w:shd w:val="clear" w:color="auto" w:fill="auto"/>
            <w:noWrap/>
            <w:tcMar>
              <w:top w:w="15" w:type="dxa"/>
              <w:left w:w="15" w:type="dxa"/>
              <w:right w:w="15" w:type="dxa"/>
            </w:tcMar>
            <w:vAlign w:val="center"/>
          </w:tcPr>
          <w:p w:rsidR="000C4654" w:rsidRDefault="002321B0">
            <w:pPr>
              <w:ind w:rightChars="50" w:right="105"/>
              <w:jc w:val="center"/>
              <w:textAlignment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sz w:val="24"/>
                <w:szCs w:val="24"/>
              </w:rPr>
              <w:t>序号</w:t>
            </w:r>
          </w:p>
        </w:tc>
        <w:tc>
          <w:tcPr>
            <w:tcW w:w="2407" w:type="pct"/>
            <w:tcBorders>
              <w:tl2br w:val="nil"/>
              <w:tr2bl w:val="nil"/>
            </w:tcBorders>
            <w:shd w:val="clear" w:color="auto" w:fill="auto"/>
            <w:noWrap/>
            <w:tcMar>
              <w:top w:w="15" w:type="dxa"/>
              <w:left w:w="15" w:type="dxa"/>
              <w:right w:w="15" w:type="dxa"/>
            </w:tcMar>
            <w:vAlign w:val="center"/>
          </w:tcPr>
          <w:p w:rsidR="000C4654" w:rsidRDefault="002321B0">
            <w:pPr>
              <w:ind w:rightChars="50" w:right="105"/>
              <w:jc w:val="center"/>
              <w:textAlignment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sz w:val="24"/>
                <w:szCs w:val="24"/>
              </w:rPr>
              <w:t>项目名称</w:t>
            </w:r>
          </w:p>
        </w:tc>
        <w:tc>
          <w:tcPr>
            <w:tcW w:w="1569" w:type="pct"/>
            <w:tcBorders>
              <w:tl2br w:val="nil"/>
              <w:tr2bl w:val="nil"/>
            </w:tcBorders>
            <w:shd w:val="clear" w:color="auto" w:fill="auto"/>
            <w:noWrap/>
            <w:tcMar>
              <w:top w:w="15" w:type="dxa"/>
              <w:left w:w="15" w:type="dxa"/>
              <w:right w:w="15" w:type="dxa"/>
            </w:tcMar>
            <w:vAlign w:val="center"/>
          </w:tcPr>
          <w:p w:rsidR="000C4654" w:rsidRDefault="002321B0">
            <w:pPr>
              <w:ind w:rightChars="50" w:right="105"/>
              <w:jc w:val="center"/>
              <w:textAlignment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sz w:val="24"/>
                <w:szCs w:val="24"/>
              </w:rPr>
              <w:t>数量（人数）</w:t>
            </w:r>
          </w:p>
        </w:tc>
      </w:tr>
      <w:tr w:rsidR="000C4654">
        <w:trPr>
          <w:trHeight w:val="454"/>
        </w:trPr>
        <w:tc>
          <w:tcPr>
            <w:tcW w:w="1022" w:type="pct"/>
            <w:tcBorders>
              <w:tl2br w:val="nil"/>
              <w:tr2bl w:val="nil"/>
            </w:tcBorders>
            <w:shd w:val="clear" w:color="auto" w:fill="auto"/>
            <w:noWrap/>
            <w:tcMar>
              <w:top w:w="15" w:type="dxa"/>
              <w:left w:w="15" w:type="dxa"/>
              <w:right w:w="15" w:type="dxa"/>
            </w:tcMar>
            <w:vAlign w:val="center"/>
          </w:tcPr>
          <w:p w:rsidR="000C4654" w:rsidRDefault="002321B0">
            <w:pPr>
              <w:ind w:rightChars="50" w:right="105"/>
              <w:jc w:val="center"/>
              <w:textAlignment w:val="center"/>
              <w:rPr>
                <w:rFonts w:ascii="仿宋_GB2312" w:eastAsia="仿宋_GB2312" w:hAnsi="仿宋_GB2312" w:cs="仿宋_GB2312"/>
                <w:color w:val="000000"/>
                <w:sz w:val="24"/>
                <w:szCs w:val="24"/>
              </w:rPr>
            </w:pPr>
            <w:proofErr w:type="gramStart"/>
            <w:r>
              <w:rPr>
                <w:rFonts w:ascii="仿宋_GB2312" w:eastAsia="仿宋_GB2312" w:hAnsi="仿宋_GB2312" w:cs="仿宋_GB2312" w:hint="eastAsia"/>
                <w:color w:val="000000"/>
                <w:sz w:val="24"/>
                <w:szCs w:val="24"/>
              </w:rPr>
              <w:t>一</w:t>
            </w:r>
            <w:proofErr w:type="gramEnd"/>
          </w:p>
        </w:tc>
        <w:tc>
          <w:tcPr>
            <w:tcW w:w="2407" w:type="pct"/>
            <w:tcBorders>
              <w:tl2br w:val="nil"/>
              <w:tr2bl w:val="nil"/>
            </w:tcBorders>
            <w:shd w:val="clear" w:color="auto" w:fill="auto"/>
            <w:noWrap/>
            <w:tcMar>
              <w:top w:w="15" w:type="dxa"/>
              <w:left w:w="15" w:type="dxa"/>
              <w:right w:w="15" w:type="dxa"/>
            </w:tcMar>
            <w:vAlign w:val="center"/>
          </w:tcPr>
          <w:p w:rsidR="000C4654" w:rsidRDefault="002321B0">
            <w:pPr>
              <w:ind w:leftChars="50" w:left="105"/>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独立编制机构数</w:t>
            </w:r>
          </w:p>
        </w:tc>
        <w:tc>
          <w:tcPr>
            <w:tcW w:w="1569" w:type="pct"/>
            <w:tcBorders>
              <w:tl2br w:val="nil"/>
              <w:tr2bl w:val="nil"/>
            </w:tcBorders>
            <w:shd w:val="clear" w:color="auto" w:fill="auto"/>
            <w:noWrap/>
            <w:tcMar>
              <w:top w:w="15" w:type="dxa"/>
              <w:left w:w="15" w:type="dxa"/>
              <w:right w:w="15" w:type="dxa"/>
            </w:tcMar>
            <w:vAlign w:val="center"/>
          </w:tcPr>
          <w:p w:rsidR="000C4654" w:rsidRDefault="002321B0">
            <w:pPr>
              <w:ind w:rightChars="50" w:right="105"/>
              <w:jc w:val="righ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w:t>
            </w:r>
          </w:p>
        </w:tc>
      </w:tr>
      <w:tr w:rsidR="000C4654">
        <w:trPr>
          <w:trHeight w:val="454"/>
        </w:trPr>
        <w:tc>
          <w:tcPr>
            <w:tcW w:w="1022" w:type="pct"/>
            <w:tcBorders>
              <w:tl2br w:val="nil"/>
              <w:tr2bl w:val="nil"/>
            </w:tcBorders>
            <w:shd w:val="clear" w:color="auto" w:fill="auto"/>
            <w:noWrap/>
            <w:tcMar>
              <w:top w:w="15" w:type="dxa"/>
              <w:left w:w="15" w:type="dxa"/>
              <w:right w:w="15" w:type="dxa"/>
            </w:tcMar>
            <w:vAlign w:val="center"/>
          </w:tcPr>
          <w:p w:rsidR="000C4654" w:rsidRDefault="002321B0">
            <w:pPr>
              <w:ind w:rightChars="50" w:right="105"/>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二</w:t>
            </w:r>
          </w:p>
        </w:tc>
        <w:tc>
          <w:tcPr>
            <w:tcW w:w="2407" w:type="pct"/>
            <w:tcBorders>
              <w:tl2br w:val="nil"/>
              <w:tr2bl w:val="nil"/>
            </w:tcBorders>
            <w:shd w:val="clear" w:color="auto" w:fill="auto"/>
            <w:noWrap/>
            <w:tcMar>
              <w:top w:w="15" w:type="dxa"/>
              <w:left w:w="15" w:type="dxa"/>
              <w:right w:w="15" w:type="dxa"/>
            </w:tcMar>
            <w:vAlign w:val="center"/>
          </w:tcPr>
          <w:p w:rsidR="000C4654" w:rsidRDefault="002321B0">
            <w:pPr>
              <w:ind w:leftChars="50" w:left="105"/>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独立核算机构数</w:t>
            </w:r>
          </w:p>
        </w:tc>
        <w:tc>
          <w:tcPr>
            <w:tcW w:w="1569" w:type="pct"/>
            <w:tcBorders>
              <w:tl2br w:val="nil"/>
              <w:tr2bl w:val="nil"/>
            </w:tcBorders>
            <w:shd w:val="clear" w:color="auto" w:fill="auto"/>
            <w:noWrap/>
            <w:tcMar>
              <w:top w:w="15" w:type="dxa"/>
              <w:left w:w="15" w:type="dxa"/>
              <w:right w:w="15" w:type="dxa"/>
            </w:tcMar>
            <w:vAlign w:val="center"/>
          </w:tcPr>
          <w:p w:rsidR="000C4654" w:rsidRDefault="002321B0">
            <w:pPr>
              <w:ind w:rightChars="50" w:right="105"/>
              <w:jc w:val="righ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w:t>
            </w:r>
          </w:p>
        </w:tc>
      </w:tr>
      <w:tr w:rsidR="000C4654">
        <w:trPr>
          <w:trHeight w:val="454"/>
        </w:trPr>
        <w:tc>
          <w:tcPr>
            <w:tcW w:w="1022" w:type="pct"/>
            <w:tcBorders>
              <w:tl2br w:val="nil"/>
              <w:tr2bl w:val="nil"/>
            </w:tcBorders>
            <w:shd w:val="clear" w:color="auto" w:fill="auto"/>
            <w:noWrap/>
            <w:tcMar>
              <w:top w:w="15" w:type="dxa"/>
              <w:left w:w="15" w:type="dxa"/>
              <w:right w:w="15" w:type="dxa"/>
            </w:tcMar>
            <w:vAlign w:val="center"/>
          </w:tcPr>
          <w:p w:rsidR="000C4654" w:rsidRDefault="002321B0">
            <w:pPr>
              <w:ind w:rightChars="50" w:right="105"/>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三</w:t>
            </w:r>
          </w:p>
        </w:tc>
        <w:tc>
          <w:tcPr>
            <w:tcW w:w="2407" w:type="pct"/>
            <w:tcBorders>
              <w:tl2br w:val="nil"/>
              <w:tr2bl w:val="nil"/>
            </w:tcBorders>
            <w:shd w:val="clear" w:color="auto" w:fill="auto"/>
            <w:noWrap/>
            <w:tcMar>
              <w:top w:w="15" w:type="dxa"/>
              <w:left w:w="15" w:type="dxa"/>
              <w:right w:w="15" w:type="dxa"/>
            </w:tcMar>
            <w:vAlign w:val="center"/>
          </w:tcPr>
          <w:p w:rsidR="000C4654" w:rsidRDefault="002321B0">
            <w:pPr>
              <w:ind w:leftChars="50" w:left="105"/>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年末实有人数</w:t>
            </w:r>
          </w:p>
        </w:tc>
        <w:tc>
          <w:tcPr>
            <w:tcW w:w="1569" w:type="pct"/>
            <w:tcBorders>
              <w:tl2br w:val="nil"/>
              <w:tr2bl w:val="nil"/>
            </w:tcBorders>
            <w:shd w:val="clear" w:color="auto" w:fill="auto"/>
            <w:noWrap/>
            <w:tcMar>
              <w:top w:w="15" w:type="dxa"/>
              <w:left w:w="15" w:type="dxa"/>
              <w:right w:w="15" w:type="dxa"/>
            </w:tcMar>
            <w:vAlign w:val="center"/>
          </w:tcPr>
          <w:p w:rsidR="000C4654" w:rsidRDefault="002321B0">
            <w:pPr>
              <w:ind w:rightChars="50" w:right="105"/>
              <w:jc w:val="righ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277</w:t>
            </w:r>
          </w:p>
        </w:tc>
      </w:tr>
      <w:tr w:rsidR="000C4654">
        <w:trPr>
          <w:trHeight w:val="454"/>
        </w:trPr>
        <w:tc>
          <w:tcPr>
            <w:tcW w:w="1022" w:type="pct"/>
            <w:tcBorders>
              <w:tl2br w:val="nil"/>
              <w:tr2bl w:val="nil"/>
            </w:tcBorders>
            <w:shd w:val="clear" w:color="auto" w:fill="auto"/>
            <w:noWrap/>
            <w:tcMar>
              <w:top w:w="15" w:type="dxa"/>
              <w:left w:w="15" w:type="dxa"/>
              <w:right w:w="15" w:type="dxa"/>
            </w:tcMar>
            <w:vAlign w:val="center"/>
          </w:tcPr>
          <w:p w:rsidR="000C4654" w:rsidRDefault="002321B0">
            <w:pPr>
              <w:ind w:rightChars="50" w:right="105"/>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（一）</w:t>
            </w:r>
          </w:p>
        </w:tc>
        <w:tc>
          <w:tcPr>
            <w:tcW w:w="2407" w:type="pct"/>
            <w:tcBorders>
              <w:tl2br w:val="nil"/>
              <w:tr2bl w:val="nil"/>
            </w:tcBorders>
            <w:shd w:val="clear" w:color="auto" w:fill="auto"/>
            <w:noWrap/>
            <w:tcMar>
              <w:top w:w="15" w:type="dxa"/>
              <w:left w:w="15" w:type="dxa"/>
              <w:right w:w="15" w:type="dxa"/>
            </w:tcMar>
            <w:vAlign w:val="center"/>
          </w:tcPr>
          <w:p w:rsidR="000C4654" w:rsidRDefault="002321B0">
            <w:pPr>
              <w:ind w:leftChars="50" w:left="105"/>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在职人员</w:t>
            </w:r>
          </w:p>
        </w:tc>
        <w:tc>
          <w:tcPr>
            <w:tcW w:w="1569" w:type="pct"/>
            <w:tcBorders>
              <w:tl2br w:val="nil"/>
              <w:tr2bl w:val="nil"/>
            </w:tcBorders>
            <w:shd w:val="clear" w:color="auto" w:fill="auto"/>
            <w:noWrap/>
            <w:tcMar>
              <w:top w:w="15" w:type="dxa"/>
              <w:left w:w="15" w:type="dxa"/>
              <w:right w:w="15" w:type="dxa"/>
            </w:tcMar>
            <w:vAlign w:val="center"/>
          </w:tcPr>
          <w:p w:rsidR="000C4654" w:rsidRDefault="002321B0">
            <w:pPr>
              <w:ind w:rightChars="50" w:right="105"/>
              <w:jc w:val="righ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128</w:t>
            </w:r>
          </w:p>
        </w:tc>
      </w:tr>
      <w:tr w:rsidR="000C4654">
        <w:trPr>
          <w:trHeight w:val="454"/>
        </w:trPr>
        <w:tc>
          <w:tcPr>
            <w:tcW w:w="1022" w:type="pct"/>
            <w:tcBorders>
              <w:tl2br w:val="nil"/>
              <w:tr2bl w:val="nil"/>
            </w:tcBorders>
            <w:shd w:val="clear" w:color="auto" w:fill="auto"/>
            <w:noWrap/>
            <w:tcMar>
              <w:top w:w="15" w:type="dxa"/>
              <w:left w:w="15" w:type="dxa"/>
              <w:right w:w="15" w:type="dxa"/>
            </w:tcMar>
            <w:vAlign w:val="center"/>
          </w:tcPr>
          <w:p w:rsidR="000C4654" w:rsidRDefault="002321B0">
            <w:pPr>
              <w:ind w:rightChars="50" w:right="105"/>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w:t>
            </w:r>
          </w:p>
        </w:tc>
        <w:tc>
          <w:tcPr>
            <w:tcW w:w="2407" w:type="pct"/>
            <w:tcBorders>
              <w:tl2br w:val="nil"/>
              <w:tr2bl w:val="nil"/>
            </w:tcBorders>
            <w:shd w:val="clear" w:color="auto" w:fill="auto"/>
            <w:noWrap/>
            <w:tcMar>
              <w:top w:w="15" w:type="dxa"/>
              <w:left w:w="15" w:type="dxa"/>
              <w:right w:w="15" w:type="dxa"/>
            </w:tcMar>
            <w:vAlign w:val="center"/>
          </w:tcPr>
          <w:p w:rsidR="000C4654" w:rsidRDefault="002321B0">
            <w:pPr>
              <w:ind w:leftChars="50" w:left="105"/>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其中：行政人员</w:t>
            </w:r>
          </w:p>
        </w:tc>
        <w:tc>
          <w:tcPr>
            <w:tcW w:w="1569" w:type="pct"/>
            <w:tcBorders>
              <w:tl2br w:val="nil"/>
              <w:tr2bl w:val="nil"/>
            </w:tcBorders>
            <w:shd w:val="clear" w:color="auto" w:fill="auto"/>
            <w:noWrap/>
            <w:tcMar>
              <w:top w:w="15" w:type="dxa"/>
              <w:left w:w="15" w:type="dxa"/>
              <w:right w:w="15" w:type="dxa"/>
            </w:tcMar>
            <w:vAlign w:val="center"/>
          </w:tcPr>
          <w:p w:rsidR="000C4654" w:rsidRDefault="002321B0">
            <w:pPr>
              <w:ind w:rightChars="50" w:right="105"/>
              <w:jc w:val="righ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128</w:t>
            </w:r>
          </w:p>
        </w:tc>
      </w:tr>
      <w:tr w:rsidR="000C4654">
        <w:trPr>
          <w:trHeight w:val="454"/>
        </w:trPr>
        <w:tc>
          <w:tcPr>
            <w:tcW w:w="1022" w:type="pct"/>
            <w:tcBorders>
              <w:tl2br w:val="nil"/>
              <w:tr2bl w:val="nil"/>
            </w:tcBorders>
            <w:shd w:val="clear" w:color="auto" w:fill="auto"/>
            <w:noWrap/>
            <w:tcMar>
              <w:top w:w="15" w:type="dxa"/>
              <w:left w:w="15" w:type="dxa"/>
              <w:right w:w="15" w:type="dxa"/>
            </w:tcMar>
            <w:vAlign w:val="center"/>
          </w:tcPr>
          <w:p w:rsidR="000C4654" w:rsidRDefault="002321B0">
            <w:pPr>
              <w:ind w:rightChars="50" w:right="105"/>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lastRenderedPageBreak/>
              <w:t>（二）</w:t>
            </w:r>
          </w:p>
        </w:tc>
        <w:tc>
          <w:tcPr>
            <w:tcW w:w="2407" w:type="pct"/>
            <w:tcBorders>
              <w:tl2br w:val="nil"/>
              <w:tr2bl w:val="nil"/>
            </w:tcBorders>
            <w:shd w:val="clear" w:color="auto" w:fill="auto"/>
            <w:noWrap/>
            <w:tcMar>
              <w:top w:w="15" w:type="dxa"/>
              <w:left w:w="15" w:type="dxa"/>
              <w:right w:w="15" w:type="dxa"/>
            </w:tcMar>
            <w:vAlign w:val="center"/>
          </w:tcPr>
          <w:p w:rsidR="000C4654" w:rsidRDefault="002321B0">
            <w:pPr>
              <w:ind w:leftChars="50" w:left="105"/>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离退休人员</w:t>
            </w:r>
          </w:p>
        </w:tc>
        <w:tc>
          <w:tcPr>
            <w:tcW w:w="1569" w:type="pct"/>
            <w:tcBorders>
              <w:tl2br w:val="nil"/>
              <w:tr2bl w:val="nil"/>
            </w:tcBorders>
            <w:shd w:val="clear" w:color="auto" w:fill="auto"/>
            <w:noWrap/>
            <w:tcMar>
              <w:top w:w="15" w:type="dxa"/>
              <w:left w:w="15" w:type="dxa"/>
              <w:right w:w="15" w:type="dxa"/>
            </w:tcMar>
            <w:vAlign w:val="center"/>
          </w:tcPr>
          <w:p w:rsidR="000C4654" w:rsidRDefault="002321B0">
            <w:pPr>
              <w:ind w:rightChars="50" w:right="105"/>
              <w:jc w:val="righ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147</w:t>
            </w:r>
          </w:p>
        </w:tc>
      </w:tr>
      <w:tr w:rsidR="000C4654">
        <w:trPr>
          <w:trHeight w:val="454"/>
        </w:trPr>
        <w:tc>
          <w:tcPr>
            <w:tcW w:w="1022" w:type="pct"/>
            <w:tcBorders>
              <w:tl2br w:val="nil"/>
              <w:tr2bl w:val="nil"/>
            </w:tcBorders>
            <w:shd w:val="clear" w:color="auto" w:fill="auto"/>
            <w:noWrap/>
            <w:tcMar>
              <w:top w:w="15" w:type="dxa"/>
              <w:left w:w="15" w:type="dxa"/>
              <w:right w:w="15" w:type="dxa"/>
            </w:tcMar>
            <w:vAlign w:val="center"/>
          </w:tcPr>
          <w:p w:rsidR="000C4654" w:rsidRDefault="002321B0">
            <w:pPr>
              <w:ind w:rightChars="50" w:right="105"/>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四</w:t>
            </w:r>
          </w:p>
        </w:tc>
        <w:tc>
          <w:tcPr>
            <w:tcW w:w="2407" w:type="pct"/>
            <w:tcBorders>
              <w:tl2br w:val="nil"/>
              <w:tr2bl w:val="nil"/>
            </w:tcBorders>
            <w:shd w:val="clear" w:color="auto" w:fill="auto"/>
            <w:noWrap/>
            <w:tcMar>
              <w:top w:w="15" w:type="dxa"/>
              <w:left w:w="15" w:type="dxa"/>
              <w:right w:w="15" w:type="dxa"/>
            </w:tcMar>
            <w:vAlign w:val="center"/>
          </w:tcPr>
          <w:p w:rsidR="000C4654" w:rsidRDefault="002321B0">
            <w:pPr>
              <w:ind w:leftChars="50" w:left="105"/>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年末其他人员数</w:t>
            </w:r>
          </w:p>
        </w:tc>
        <w:tc>
          <w:tcPr>
            <w:tcW w:w="1569" w:type="pct"/>
            <w:tcBorders>
              <w:tl2br w:val="nil"/>
              <w:tr2bl w:val="nil"/>
            </w:tcBorders>
            <w:shd w:val="clear" w:color="auto" w:fill="auto"/>
            <w:noWrap/>
            <w:tcMar>
              <w:top w:w="15" w:type="dxa"/>
              <w:left w:w="15" w:type="dxa"/>
              <w:right w:w="15" w:type="dxa"/>
            </w:tcMar>
            <w:vAlign w:val="center"/>
          </w:tcPr>
          <w:p w:rsidR="000C4654" w:rsidRDefault="002321B0">
            <w:pPr>
              <w:ind w:rightChars="50" w:right="105"/>
              <w:jc w:val="righ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w:t>
            </w:r>
          </w:p>
        </w:tc>
      </w:tr>
    </w:tbl>
    <w:p w:rsidR="000C4654" w:rsidRDefault="000C4654">
      <w:pPr>
        <w:spacing w:line="600" w:lineRule="exact"/>
        <w:ind w:firstLineChars="200" w:firstLine="640"/>
        <w:rPr>
          <w:rFonts w:ascii="仿宋_GB2312" w:eastAsia="仿宋_GB2312"/>
          <w:sz w:val="32"/>
          <w:szCs w:val="32"/>
        </w:rPr>
      </w:pPr>
      <w:bookmarkStart w:id="5" w:name="_Toc24624022"/>
    </w:p>
    <w:p w:rsidR="000C4654" w:rsidRDefault="002321B0">
      <w:pPr>
        <w:spacing w:line="600" w:lineRule="exact"/>
        <w:ind w:firstLineChars="200" w:firstLine="640"/>
        <w:rPr>
          <w:rFonts w:ascii="仿宋_GB2312" w:eastAsia="仿宋_GB2312"/>
          <w:sz w:val="32"/>
          <w:szCs w:val="32"/>
        </w:rPr>
      </w:pPr>
      <w:r>
        <w:rPr>
          <w:rFonts w:ascii="仿宋_GB2312" w:eastAsia="仿宋_GB2312" w:hint="eastAsia"/>
          <w:sz w:val="32"/>
          <w:szCs w:val="32"/>
        </w:rPr>
        <w:t>6.资产情况</w:t>
      </w:r>
    </w:p>
    <w:p w:rsidR="000C4654" w:rsidRDefault="002321B0">
      <w:pPr>
        <w:spacing w:line="600" w:lineRule="exact"/>
        <w:ind w:firstLineChars="200" w:firstLine="640"/>
        <w:rPr>
          <w:rFonts w:ascii="仿宋_GB2312" w:eastAsia="仿宋_GB2312"/>
          <w:sz w:val="32"/>
          <w:szCs w:val="32"/>
        </w:rPr>
      </w:pPr>
      <w:r>
        <w:rPr>
          <w:rFonts w:ascii="仿宋_GB2312" w:eastAsia="仿宋_GB2312" w:hint="eastAsia"/>
          <w:sz w:val="32"/>
          <w:szCs w:val="32"/>
        </w:rPr>
        <w:t>市</w:t>
      </w:r>
      <w:proofErr w:type="gramStart"/>
      <w:r>
        <w:rPr>
          <w:rFonts w:ascii="仿宋_GB2312" w:eastAsia="仿宋_GB2312" w:hint="eastAsia"/>
          <w:sz w:val="32"/>
          <w:szCs w:val="32"/>
        </w:rPr>
        <w:t>卫健委2024年末</w:t>
      </w:r>
      <w:proofErr w:type="gramEnd"/>
      <w:r>
        <w:rPr>
          <w:rFonts w:ascii="仿宋_GB2312" w:eastAsia="仿宋_GB2312" w:hint="eastAsia"/>
          <w:sz w:val="32"/>
          <w:szCs w:val="32"/>
        </w:rPr>
        <w:t>固定资产账面原值13096.42万元，累计折旧5872.33万元，固定资产净值7224.09万元，具体分项情况详见下表：</w:t>
      </w:r>
    </w:p>
    <w:p w:rsidR="000C4654" w:rsidRDefault="000C4654">
      <w:pPr>
        <w:spacing w:line="600" w:lineRule="exact"/>
        <w:ind w:firstLineChars="200" w:firstLine="640"/>
        <w:rPr>
          <w:rFonts w:ascii="仿宋_GB2312" w:eastAsia="仿宋_GB2312"/>
          <w:sz w:val="32"/>
          <w:szCs w:val="32"/>
        </w:rPr>
      </w:pPr>
    </w:p>
    <w:p w:rsidR="000C4654" w:rsidRDefault="002321B0">
      <w:pPr>
        <w:pStyle w:val="ab"/>
        <w:rPr>
          <w:rFonts w:ascii="仿宋_GB2312" w:hAnsi="仿宋_GB2312" w:cs="仿宋_GB2312"/>
        </w:rPr>
      </w:pPr>
      <w:r>
        <w:rPr>
          <w:rFonts w:ascii="仿宋_GB2312" w:hAnsi="仿宋_GB2312" w:cs="仿宋_GB2312" w:hint="eastAsia"/>
        </w:rPr>
        <w:t>市</w:t>
      </w:r>
      <w:proofErr w:type="gramStart"/>
      <w:r>
        <w:rPr>
          <w:rFonts w:ascii="仿宋_GB2312" w:hAnsi="仿宋_GB2312" w:cs="仿宋_GB2312" w:hint="eastAsia"/>
        </w:rPr>
        <w:t>卫健委固定资产</w:t>
      </w:r>
      <w:proofErr w:type="gramEnd"/>
      <w:r>
        <w:rPr>
          <w:rFonts w:ascii="仿宋_GB2312" w:hAnsi="仿宋_GB2312" w:cs="仿宋_GB2312" w:hint="eastAsia"/>
        </w:rPr>
        <w:t>情况表</w:t>
      </w:r>
    </w:p>
    <w:p w:rsidR="000C4654" w:rsidRDefault="002321B0">
      <w:pPr>
        <w:pStyle w:val="ab"/>
        <w:jc w:val="right"/>
      </w:pPr>
      <w:r>
        <w:rPr>
          <w:rFonts w:ascii="仿宋_GB2312" w:hAnsi="仿宋_GB2312" w:cs="仿宋_GB2312" w:hint="eastAsia"/>
        </w:rPr>
        <w:t>单位：万元</w:t>
      </w:r>
    </w:p>
    <w:tbl>
      <w:tblPr>
        <w:tblW w:w="4998" w:type="pct"/>
        <w:tblBorders>
          <w:top w:val="single" w:sz="8" w:space="0" w:color="000000"/>
          <w:bottom w:val="single" w:sz="4" w:space="0" w:color="000000"/>
          <w:insideH w:val="dotted" w:sz="4" w:space="0" w:color="000000"/>
          <w:insideV w:val="dotted" w:sz="4" w:space="0" w:color="000000"/>
        </w:tblBorders>
        <w:tblLook w:val="04A0"/>
      </w:tblPr>
      <w:tblGrid>
        <w:gridCol w:w="562"/>
        <w:gridCol w:w="3242"/>
        <w:gridCol w:w="1571"/>
        <w:gridCol w:w="1571"/>
        <w:gridCol w:w="1573"/>
      </w:tblGrid>
      <w:tr w:rsidR="000C4654">
        <w:trPr>
          <w:trHeight w:val="454"/>
        </w:trPr>
        <w:tc>
          <w:tcPr>
            <w:tcW w:w="329" w:type="pct"/>
            <w:vMerge w:val="restart"/>
            <w:tcBorders>
              <w:tl2br w:val="nil"/>
              <w:tr2bl w:val="nil"/>
            </w:tcBorders>
            <w:shd w:val="clear" w:color="auto" w:fill="FFFFFF"/>
            <w:vAlign w:val="center"/>
          </w:tcPr>
          <w:p w:rsidR="000C4654" w:rsidRDefault="002321B0">
            <w:pPr>
              <w:ind w:leftChars="50" w:left="105"/>
              <w:jc w:val="center"/>
              <w:textAlignment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sz w:val="24"/>
                <w:szCs w:val="24"/>
              </w:rPr>
              <w:t>序号</w:t>
            </w:r>
          </w:p>
        </w:tc>
        <w:tc>
          <w:tcPr>
            <w:tcW w:w="1902" w:type="pct"/>
            <w:vMerge w:val="restart"/>
            <w:tcBorders>
              <w:tl2br w:val="nil"/>
              <w:tr2bl w:val="nil"/>
            </w:tcBorders>
            <w:shd w:val="clear" w:color="auto" w:fill="FFFFFF"/>
            <w:vAlign w:val="center"/>
          </w:tcPr>
          <w:p w:rsidR="000C4654" w:rsidRDefault="002321B0">
            <w:pPr>
              <w:ind w:leftChars="50" w:left="105"/>
              <w:jc w:val="center"/>
              <w:textAlignment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sz w:val="24"/>
                <w:szCs w:val="24"/>
              </w:rPr>
              <w:t>资产类别</w:t>
            </w:r>
          </w:p>
        </w:tc>
        <w:tc>
          <w:tcPr>
            <w:tcW w:w="2767" w:type="pct"/>
            <w:gridSpan w:val="3"/>
            <w:tcBorders>
              <w:tl2br w:val="nil"/>
              <w:tr2bl w:val="nil"/>
            </w:tcBorders>
            <w:shd w:val="clear" w:color="auto" w:fill="FFFFFF"/>
            <w:vAlign w:val="center"/>
          </w:tcPr>
          <w:p w:rsidR="000C4654" w:rsidRDefault="002321B0">
            <w:pPr>
              <w:ind w:leftChars="50" w:left="105"/>
              <w:jc w:val="center"/>
              <w:textAlignment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sz w:val="24"/>
                <w:szCs w:val="24"/>
              </w:rPr>
              <w:t>期末账面数</w:t>
            </w:r>
          </w:p>
        </w:tc>
      </w:tr>
      <w:tr w:rsidR="000C4654">
        <w:trPr>
          <w:trHeight w:val="454"/>
        </w:trPr>
        <w:tc>
          <w:tcPr>
            <w:tcW w:w="329" w:type="pct"/>
            <w:vMerge/>
            <w:tcBorders>
              <w:tl2br w:val="nil"/>
              <w:tr2bl w:val="nil"/>
            </w:tcBorders>
            <w:shd w:val="clear" w:color="auto" w:fill="FFFFFF"/>
            <w:vAlign w:val="center"/>
          </w:tcPr>
          <w:p w:rsidR="000C4654" w:rsidRDefault="000C4654">
            <w:pPr>
              <w:jc w:val="center"/>
              <w:rPr>
                <w:rFonts w:ascii="仿宋_GB2312" w:eastAsia="仿宋_GB2312" w:hAnsi="仿宋_GB2312" w:cs="仿宋_GB2312"/>
                <w:b/>
                <w:bCs/>
                <w:color w:val="000000"/>
                <w:sz w:val="24"/>
                <w:szCs w:val="24"/>
              </w:rPr>
            </w:pPr>
          </w:p>
        </w:tc>
        <w:tc>
          <w:tcPr>
            <w:tcW w:w="1902" w:type="pct"/>
            <w:vMerge/>
            <w:tcBorders>
              <w:tl2br w:val="nil"/>
              <w:tr2bl w:val="nil"/>
            </w:tcBorders>
            <w:shd w:val="clear" w:color="auto" w:fill="FFFFFF"/>
            <w:vAlign w:val="center"/>
          </w:tcPr>
          <w:p w:rsidR="000C4654" w:rsidRDefault="000C4654">
            <w:pPr>
              <w:jc w:val="center"/>
              <w:rPr>
                <w:rFonts w:ascii="仿宋_GB2312" w:eastAsia="仿宋_GB2312" w:hAnsi="仿宋_GB2312" w:cs="仿宋_GB2312"/>
                <w:b/>
                <w:bCs/>
                <w:color w:val="000000"/>
                <w:sz w:val="24"/>
                <w:szCs w:val="24"/>
              </w:rPr>
            </w:pPr>
          </w:p>
        </w:tc>
        <w:tc>
          <w:tcPr>
            <w:tcW w:w="922" w:type="pct"/>
            <w:tcBorders>
              <w:tl2br w:val="nil"/>
              <w:tr2bl w:val="nil"/>
            </w:tcBorders>
            <w:shd w:val="clear" w:color="auto" w:fill="FFFFFF"/>
            <w:vAlign w:val="center"/>
          </w:tcPr>
          <w:p w:rsidR="000C4654" w:rsidRDefault="002321B0">
            <w:pPr>
              <w:jc w:val="center"/>
              <w:textAlignment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sz w:val="24"/>
                <w:szCs w:val="24"/>
              </w:rPr>
              <w:t>原值</w:t>
            </w:r>
          </w:p>
        </w:tc>
        <w:tc>
          <w:tcPr>
            <w:tcW w:w="922" w:type="pct"/>
            <w:tcBorders>
              <w:tl2br w:val="nil"/>
              <w:tr2bl w:val="nil"/>
            </w:tcBorders>
            <w:shd w:val="clear" w:color="auto" w:fill="FFFFFF"/>
            <w:vAlign w:val="center"/>
          </w:tcPr>
          <w:p w:rsidR="000C4654" w:rsidRDefault="002321B0">
            <w:pPr>
              <w:jc w:val="center"/>
              <w:textAlignment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sz w:val="24"/>
                <w:szCs w:val="24"/>
              </w:rPr>
              <w:t>累计折旧</w:t>
            </w:r>
          </w:p>
        </w:tc>
        <w:tc>
          <w:tcPr>
            <w:tcW w:w="923" w:type="pct"/>
            <w:tcBorders>
              <w:tl2br w:val="nil"/>
              <w:tr2bl w:val="nil"/>
            </w:tcBorders>
            <w:shd w:val="clear" w:color="auto" w:fill="FFFFFF"/>
            <w:vAlign w:val="center"/>
          </w:tcPr>
          <w:p w:rsidR="000C4654" w:rsidRDefault="002321B0">
            <w:pPr>
              <w:jc w:val="center"/>
              <w:textAlignment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sz w:val="24"/>
                <w:szCs w:val="24"/>
              </w:rPr>
              <w:t>净值</w:t>
            </w:r>
          </w:p>
        </w:tc>
      </w:tr>
      <w:tr w:rsidR="000C4654">
        <w:trPr>
          <w:trHeight w:val="454"/>
        </w:trPr>
        <w:tc>
          <w:tcPr>
            <w:tcW w:w="329" w:type="pct"/>
            <w:tcBorders>
              <w:tl2br w:val="nil"/>
              <w:tr2bl w:val="nil"/>
            </w:tcBorders>
            <w:shd w:val="clear" w:color="auto" w:fill="FFFFFF"/>
            <w:vAlign w:val="center"/>
          </w:tcPr>
          <w:p w:rsidR="000C4654" w:rsidRDefault="002321B0">
            <w:pPr>
              <w:ind w:leftChars="50" w:left="105"/>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w:t>
            </w:r>
          </w:p>
        </w:tc>
        <w:tc>
          <w:tcPr>
            <w:tcW w:w="1902" w:type="pct"/>
            <w:tcBorders>
              <w:tl2br w:val="nil"/>
              <w:tr2bl w:val="nil"/>
            </w:tcBorders>
            <w:shd w:val="clear" w:color="auto" w:fill="FFFFFF"/>
            <w:vAlign w:val="center"/>
          </w:tcPr>
          <w:p w:rsidR="000C4654" w:rsidRDefault="002321B0">
            <w:pPr>
              <w:ind w:leftChars="50" w:left="105"/>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土地、房屋及构筑物</w:t>
            </w:r>
          </w:p>
        </w:tc>
        <w:tc>
          <w:tcPr>
            <w:tcW w:w="922" w:type="pct"/>
            <w:tcBorders>
              <w:tl2br w:val="nil"/>
              <w:tr2bl w:val="nil"/>
            </w:tcBorders>
            <w:shd w:val="clear" w:color="auto" w:fill="FFFFFF"/>
            <w:noWrap/>
            <w:vAlign w:val="center"/>
          </w:tcPr>
          <w:p w:rsidR="000C4654" w:rsidRDefault="002321B0">
            <w:pPr>
              <w:jc w:val="right"/>
              <w:textAlignment w:val="center"/>
              <w:rPr>
                <w:color w:val="000000"/>
                <w:sz w:val="22"/>
                <w:szCs w:val="22"/>
              </w:rPr>
            </w:pPr>
            <w:r>
              <w:rPr>
                <w:color w:val="000000"/>
                <w:sz w:val="22"/>
                <w:szCs w:val="22"/>
              </w:rPr>
              <w:t>7198.91</w:t>
            </w:r>
          </w:p>
        </w:tc>
        <w:tc>
          <w:tcPr>
            <w:tcW w:w="922" w:type="pct"/>
            <w:tcBorders>
              <w:tl2br w:val="nil"/>
              <w:tr2bl w:val="nil"/>
            </w:tcBorders>
            <w:shd w:val="clear" w:color="auto" w:fill="FFFFFF"/>
            <w:noWrap/>
            <w:vAlign w:val="center"/>
          </w:tcPr>
          <w:p w:rsidR="000C4654" w:rsidRDefault="002321B0">
            <w:pPr>
              <w:jc w:val="right"/>
              <w:textAlignment w:val="center"/>
              <w:rPr>
                <w:color w:val="000000"/>
                <w:sz w:val="22"/>
                <w:szCs w:val="22"/>
              </w:rPr>
            </w:pPr>
            <w:r>
              <w:rPr>
                <w:color w:val="000000"/>
                <w:sz w:val="22"/>
                <w:szCs w:val="22"/>
              </w:rPr>
              <w:t>2985</w:t>
            </w:r>
          </w:p>
        </w:tc>
        <w:tc>
          <w:tcPr>
            <w:tcW w:w="923" w:type="pct"/>
            <w:tcBorders>
              <w:tl2br w:val="nil"/>
              <w:tr2bl w:val="nil"/>
            </w:tcBorders>
            <w:shd w:val="clear" w:color="auto" w:fill="FFFFFF"/>
            <w:noWrap/>
            <w:vAlign w:val="center"/>
          </w:tcPr>
          <w:p w:rsidR="000C4654" w:rsidRDefault="002321B0">
            <w:pPr>
              <w:jc w:val="right"/>
              <w:textAlignment w:val="center"/>
              <w:rPr>
                <w:color w:val="000000"/>
                <w:sz w:val="22"/>
                <w:szCs w:val="22"/>
              </w:rPr>
            </w:pPr>
            <w:r>
              <w:rPr>
                <w:color w:val="000000"/>
                <w:sz w:val="22"/>
                <w:szCs w:val="22"/>
              </w:rPr>
              <w:t>4213.91</w:t>
            </w:r>
          </w:p>
        </w:tc>
      </w:tr>
      <w:tr w:rsidR="000C4654">
        <w:trPr>
          <w:trHeight w:val="454"/>
        </w:trPr>
        <w:tc>
          <w:tcPr>
            <w:tcW w:w="329" w:type="pct"/>
            <w:tcBorders>
              <w:tl2br w:val="nil"/>
              <w:tr2bl w:val="nil"/>
            </w:tcBorders>
            <w:shd w:val="clear" w:color="auto" w:fill="FFFFFF"/>
            <w:vAlign w:val="center"/>
          </w:tcPr>
          <w:p w:rsidR="000C4654" w:rsidRDefault="002321B0">
            <w:pPr>
              <w:ind w:leftChars="50" w:left="105"/>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w:t>
            </w:r>
          </w:p>
        </w:tc>
        <w:tc>
          <w:tcPr>
            <w:tcW w:w="1902" w:type="pct"/>
            <w:tcBorders>
              <w:tl2br w:val="nil"/>
              <w:tr2bl w:val="nil"/>
            </w:tcBorders>
            <w:shd w:val="clear" w:color="auto" w:fill="FFFFFF"/>
            <w:vAlign w:val="center"/>
          </w:tcPr>
          <w:p w:rsidR="000C4654" w:rsidRDefault="002321B0">
            <w:pPr>
              <w:ind w:leftChars="50" w:left="105"/>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设备</w:t>
            </w:r>
          </w:p>
        </w:tc>
        <w:tc>
          <w:tcPr>
            <w:tcW w:w="922" w:type="pct"/>
            <w:tcBorders>
              <w:tl2br w:val="nil"/>
              <w:tr2bl w:val="nil"/>
            </w:tcBorders>
            <w:shd w:val="clear" w:color="auto" w:fill="FFFFFF"/>
            <w:noWrap/>
            <w:vAlign w:val="center"/>
          </w:tcPr>
          <w:p w:rsidR="000C4654" w:rsidRDefault="002321B0">
            <w:pPr>
              <w:jc w:val="right"/>
              <w:textAlignment w:val="center"/>
              <w:rPr>
                <w:color w:val="000000"/>
                <w:sz w:val="22"/>
                <w:szCs w:val="22"/>
              </w:rPr>
            </w:pPr>
            <w:r>
              <w:rPr>
                <w:color w:val="000000"/>
                <w:sz w:val="22"/>
                <w:szCs w:val="22"/>
              </w:rPr>
              <w:t>5655.73</w:t>
            </w:r>
          </w:p>
        </w:tc>
        <w:tc>
          <w:tcPr>
            <w:tcW w:w="922" w:type="pct"/>
            <w:tcBorders>
              <w:tl2br w:val="nil"/>
              <w:tr2bl w:val="nil"/>
            </w:tcBorders>
            <w:shd w:val="clear" w:color="auto" w:fill="FFFFFF"/>
            <w:noWrap/>
            <w:vAlign w:val="center"/>
          </w:tcPr>
          <w:p w:rsidR="000C4654" w:rsidRDefault="002321B0">
            <w:pPr>
              <w:jc w:val="right"/>
              <w:textAlignment w:val="center"/>
              <w:rPr>
                <w:color w:val="000000"/>
                <w:sz w:val="22"/>
                <w:szCs w:val="22"/>
              </w:rPr>
            </w:pPr>
            <w:r>
              <w:rPr>
                <w:color w:val="000000"/>
                <w:sz w:val="22"/>
                <w:szCs w:val="22"/>
              </w:rPr>
              <w:t>2773.19</w:t>
            </w:r>
          </w:p>
        </w:tc>
        <w:tc>
          <w:tcPr>
            <w:tcW w:w="923" w:type="pct"/>
            <w:tcBorders>
              <w:tl2br w:val="nil"/>
              <w:tr2bl w:val="nil"/>
            </w:tcBorders>
            <w:shd w:val="clear" w:color="auto" w:fill="FFFFFF"/>
            <w:noWrap/>
            <w:vAlign w:val="center"/>
          </w:tcPr>
          <w:p w:rsidR="000C4654" w:rsidRDefault="002321B0">
            <w:pPr>
              <w:jc w:val="right"/>
              <w:textAlignment w:val="center"/>
              <w:rPr>
                <w:color w:val="000000"/>
                <w:sz w:val="22"/>
                <w:szCs w:val="22"/>
              </w:rPr>
            </w:pPr>
            <w:r>
              <w:rPr>
                <w:color w:val="000000"/>
                <w:sz w:val="22"/>
                <w:szCs w:val="22"/>
              </w:rPr>
              <w:t>2882.54</w:t>
            </w:r>
          </w:p>
        </w:tc>
      </w:tr>
      <w:tr w:rsidR="000C4654">
        <w:trPr>
          <w:trHeight w:val="454"/>
        </w:trPr>
        <w:tc>
          <w:tcPr>
            <w:tcW w:w="329" w:type="pct"/>
            <w:tcBorders>
              <w:tl2br w:val="nil"/>
              <w:tr2bl w:val="nil"/>
            </w:tcBorders>
            <w:shd w:val="clear" w:color="auto" w:fill="FFFFFF"/>
            <w:vAlign w:val="center"/>
          </w:tcPr>
          <w:p w:rsidR="000C4654" w:rsidRDefault="002321B0">
            <w:pPr>
              <w:ind w:leftChars="50" w:left="105"/>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w:t>
            </w:r>
          </w:p>
        </w:tc>
        <w:tc>
          <w:tcPr>
            <w:tcW w:w="1902" w:type="pct"/>
            <w:tcBorders>
              <w:tl2br w:val="nil"/>
              <w:tr2bl w:val="nil"/>
            </w:tcBorders>
            <w:shd w:val="clear" w:color="auto" w:fill="FFFFFF"/>
            <w:vAlign w:val="center"/>
          </w:tcPr>
          <w:p w:rsidR="000C4654" w:rsidRDefault="002321B0">
            <w:pPr>
              <w:ind w:leftChars="50" w:left="105"/>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家具、用具、装具及动植物</w:t>
            </w:r>
          </w:p>
        </w:tc>
        <w:tc>
          <w:tcPr>
            <w:tcW w:w="922" w:type="pct"/>
            <w:tcBorders>
              <w:tl2br w:val="nil"/>
              <w:tr2bl w:val="nil"/>
            </w:tcBorders>
            <w:shd w:val="clear" w:color="auto" w:fill="FFFFFF"/>
            <w:noWrap/>
            <w:vAlign w:val="center"/>
          </w:tcPr>
          <w:p w:rsidR="000C4654" w:rsidRDefault="002321B0">
            <w:pPr>
              <w:jc w:val="right"/>
              <w:textAlignment w:val="center"/>
              <w:rPr>
                <w:color w:val="000000"/>
                <w:sz w:val="22"/>
                <w:szCs w:val="22"/>
              </w:rPr>
            </w:pPr>
            <w:r>
              <w:rPr>
                <w:color w:val="000000"/>
                <w:sz w:val="22"/>
                <w:szCs w:val="22"/>
              </w:rPr>
              <w:t>241.77</w:t>
            </w:r>
          </w:p>
        </w:tc>
        <w:tc>
          <w:tcPr>
            <w:tcW w:w="922" w:type="pct"/>
            <w:tcBorders>
              <w:tl2br w:val="nil"/>
              <w:tr2bl w:val="nil"/>
            </w:tcBorders>
            <w:shd w:val="clear" w:color="auto" w:fill="FFFFFF"/>
            <w:noWrap/>
            <w:vAlign w:val="center"/>
          </w:tcPr>
          <w:p w:rsidR="000C4654" w:rsidRDefault="002321B0">
            <w:pPr>
              <w:jc w:val="right"/>
              <w:textAlignment w:val="center"/>
              <w:rPr>
                <w:color w:val="000000"/>
                <w:sz w:val="22"/>
                <w:szCs w:val="22"/>
              </w:rPr>
            </w:pPr>
            <w:r>
              <w:rPr>
                <w:color w:val="000000"/>
                <w:sz w:val="22"/>
                <w:szCs w:val="22"/>
              </w:rPr>
              <w:t>114.13</w:t>
            </w:r>
          </w:p>
        </w:tc>
        <w:tc>
          <w:tcPr>
            <w:tcW w:w="923" w:type="pct"/>
            <w:tcBorders>
              <w:tl2br w:val="nil"/>
              <w:tr2bl w:val="nil"/>
            </w:tcBorders>
            <w:shd w:val="clear" w:color="auto" w:fill="FFFFFF"/>
            <w:noWrap/>
            <w:vAlign w:val="center"/>
          </w:tcPr>
          <w:p w:rsidR="000C4654" w:rsidRDefault="002321B0">
            <w:pPr>
              <w:jc w:val="right"/>
              <w:textAlignment w:val="center"/>
              <w:rPr>
                <w:color w:val="000000"/>
                <w:sz w:val="22"/>
                <w:szCs w:val="22"/>
              </w:rPr>
            </w:pPr>
            <w:r>
              <w:rPr>
                <w:color w:val="000000"/>
                <w:sz w:val="22"/>
                <w:szCs w:val="22"/>
              </w:rPr>
              <w:t>127.64</w:t>
            </w:r>
          </w:p>
        </w:tc>
      </w:tr>
      <w:tr w:rsidR="000C4654">
        <w:trPr>
          <w:trHeight w:val="454"/>
        </w:trPr>
        <w:tc>
          <w:tcPr>
            <w:tcW w:w="2232" w:type="pct"/>
            <w:gridSpan w:val="2"/>
            <w:tcBorders>
              <w:tl2br w:val="nil"/>
              <w:tr2bl w:val="nil"/>
            </w:tcBorders>
            <w:shd w:val="clear" w:color="auto" w:fill="FFFFFF"/>
            <w:vAlign w:val="center"/>
          </w:tcPr>
          <w:p w:rsidR="000C4654" w:rsidRDefault="002321B0">
            <w:pPr>
              <w:ind w:leftChars="50" w:left="105"/>
              <w:jc w:val="center"/>
              <w:textAlignment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sz w:val="24"/>
                <w:szCs w:val="24"/>
              </w:rPr>
              <w:t>合  计</w:t>
            </w:r>
          </w:p>
        </w:tc>
        <w:tc>
          <w:tcPr>
            <w:tcW w:w="922" w:type="pct"/>
            <w:tcBorders>
              <w:tl2br w:val="nil"/>
              <w:tr2bl w:val="nil"/>
            </w:tcBorders>
            <w:shd w:val="clear" w:color="auto" w:fill="FFFFFF"/>
            <w:noWrap/>
            <w:vAlign w:val="center"/>
          </w:tcPr>
          <w:p w:rsidR="000C4654" w:rsidRDefault="002321B0">
            <w:pPr>
              <w:jc w:val="right"/>
              <w:textAlignment w:val="center"/>
              <w:rPr>
                <w:b/>
                <w:bCs/>
                <w:color w:val="000000"/>
                <w:sz w:val="22"/>
                <w:szCs w:val="22"/>
              </w:rPr>
            </w:pPr>
            <w:r>
              <w:rPr>
                <w:rFonts w:hint="eastAsia"/>
                <w:b/>
                <w:bCs/>
                <w:color w:val="000000"/>
                <w:sz w:val="22"/>
                <w:szCs w:val="22"/>
              </w:rPr>
              <w:t>13096.42</w:t>
            </w:r>
          </w:p>
        </w:tc>
        <w:tc>
          <w:tcPr>
            <w:tcW w:w="922" w:type="pct"/>
            <w:tcBorders>
              <w:tl2br w:val="nil"/>
              <w:tr2bl w:val="nil"/>
            </w:tcBorders>
            <w:shd w:val="clear" w:color="auto" w:fill="FFFFFF"/>
            <w:noWrap/>
            <w:vAlign w:val="center"/>
          </w:tcPr>
          <w:p w:rsidR="000C4654" w:rsidRDefault="002321B0">
            <w:pPr>
              <w:jc w:val="right"/>
              <w:textAlignment w:val="center"/>
              <w:rPr>
                <w:b/>
                <w:bCs/>
                <w:color w:val="000000"/>
                <w:sz w:val="22"/>
                <w:szCs w:val="22"/>
              </w:rPr>
            </w:pPr>
            <w:r>
              <w:rPr>
                <w:b/>
                <w:bCs/>
                <w:color w:val="000000"/>
                <w:sz w:val="22"/>
                <w:szCs w:val="22"/>
              </w:rPr>
              <w:t>5872.33</w:t>
            </w:r>
          </w:p>
        </w:tc>
        <w:tc>
          <w:tcPr>
            <w:tcW w:w="923" w:type="pct"/>
            <w:tcBorders>
              <w:tl2br w:val="nil"/>
              <w:tr2bl w:val="nil"/>
            </w:tcBorders>
            <w:shd w:val="clear" w:color="auto" w:fill="FFFFFF"/>
            <w:noWrap/>
            <w:vAlign w:val="center"/>
          </w:tcPr>
          <w:p w:rsidR="000C4654" w:rsidRDefault="002321B0">
            <w:pPr>
              <w:jc w:val="right"/>
              <w:textAlignment w:val="center"/>
              <w:rPr>
                <w:b/>
                <w:bCs/>
                <w:color w:val="000000"/>
                <w:sz w:val="22"/>
                <w:szCs w:val="22"/>
              </w:rPr>
            </w:pPr>
            <w:r>
              <w:rPr>
                <w:b/>
                <w:bCs/>
                <w:color w:val="000000"/>
                <w:sz w:val="22"/>
                <w:szCs w:val="22"/>
              </w:rPr>
              <w:t>7224.09</w:t>
            </w:r>
          </w:p>
        </w:tc>
      </w:tr>
    </w:tbl>
    <w:p w:rsidR="000C4654" w:rsidRDefault="000C4654">
      <w:pPr>
        <w:spacing w:line="600" w:lineRule="exact"/>
        <w:ind w:firstLineChars="200" w:firstLine="640"/>
        <w:rPr>
          <w:rFonts w:ascii="仿宋_GB2312" w:eastAsia="仿宋_GB2312"/>
          <w:sz w:val="32"/>
          <w:szCs w:val="32"/>
        </w:rPr>
      </w:pPr>
    </w:p>
    <w:p w:rsidR="000C4654" w:rsidRDefault="002321B0">
      <w:pPr>
        <w:spacing w:line="600" w:lineRule="exact"/>
        <w:ind w:firstLineChars="200" w:firstLine="640"/>
        <w:rPr>
          <w:rFonts w:ascii="仿宋_GB2312" w:eastAsia="仿宋_GB2312"/>
          <w:sz w:val="32"/>
          <w:szCs w:val="32"/>
        </w:rPr>
      </w:pPr>
      <w:r>
        <w:rPr>
          <w:rFonts w:ascii="仿宋_GB2312" w:eastAsia="仿宋_GB2312" w:hint="eastAsia"/>
          <w:sz w:val="32"/>
          <w:szCs w:val="32"/>
        </w:rPr>
        <w:t>4.部门</w:t>
      </w:r>
      <w:r>
        <w:rPr>
          <w:rFonts w:ascii="仿宋_GB2312" w:eastAsia="仿宋_GB2312"/>
          <w:sz w:val="32"/>
          <w:szCs w:val="32"/>
        </w:rPr>
        <w:t>20</w:t>
      </w:r>
      <w:r>
        <w:rPr>
          <w:rFonts w:ascii="仿宋_GB2312" w:eastAsia="仿宋_GB2312" w:hint="eastAsia"/>
          <w:sz w:val="32"/>
          <w:szCs w:val="32"/>
        </w:rPr>
        <w:t>24年度重点工作任务</w:t>
      </w:r>
      <w:bookmarkEnd w:id="5"/>
    </w:p>
    <w:p w:rsidR="000C4654" w:rsidRDefault="002321B0">
      <w:pPr>
        <w:spacing w:line="600" w:lineRule="exact"/>
        <w:ind w:firstLineChars="200" w:firstLine="640"/>
        <w:rPr>
          <w:rFonts w:ascii="仿宋_GB2312" w:eastAsia="仿宋_GB2312"/>
          <w:sz w:val="32"/>
          <w:szCs w:val="32"/>
        </w:rPr>
      </w:pPr>
      <w:bookmarkStart w:id="6" w:name="_Toc24624023"/>
      <w:r>
        <w:rPr>
          <w:rFonts w:ascii="仿宋_GB2312" w:eastAsia="仿宋_GB2312" w:hint="eastAsia"/>
          <w:sz w:val="32"/>
          <w:szCs w:val="32"/>
        </w:rPr>
        <w:t>市</w:t>
      </w:r>
      <w:proofErr w:type="gramStart"/>
      <w:r>
        <w:rPr>
          <w:rFonts w:ascii="仿宋_GB2312" w:eastAsia="仿宋_GB2312" w:hint="eastAsia"/>
          <w:sz w:val="32"/>
          <w:szCs w:val="32"/>
        </w:rPr>
        <w:t>卫健委2024年度</w:t>
      </w:r>
      <w:proofErr w:type="gramEnd"/>
      <w:r>
        <w:rPr>
          <w:rFonts w:ascii="仿宋_GB2312" w:eastAsia="仿宋_GB2312" w:hint="eastAsia"/>
          <w:sz w:val="32"/>
          <w:szCs w:val="32"/>
        </w:rPr>
        <w:t>重点工作任务包括综合</w:t>
      </w:r>
      <w:proofErr w:type="gramStart"/>
      <w:r>
        <w:rPr>
          <w:rFonts w:ascii="仿宋_GB2312" w:eastAsia="仿宋_GB2312" w:hint="eastAsia"/>
          <w:sz w:val="32"/>
          <w:szCs w:val="32"/>
        </w:rPr>
        <w:t>医</w:t>
      </w:r>
      <w:proofErr w:type="gramEnd"/>
      <w:r>
        <w:rPr>
          <w:rFonts w:ascii="仿宋_GB2312" w:eastAsia="仿宋_GB2312" w:hint="eastAsia"/>
          <w:sz w:val="32"/>
          <w:szCs w:val="32"/>
        </w:rPr>
        <w:t>改工作取得新成效、健康南京建设大力推进、公共卫生效能不断提升、医疗卫生服务全面改善、重点人群保障持续提升、科教创新</w:t>
      </w:r>
      <w:r>
        <w:rPr>
          <w:rFonts w:ascii="仿宋_GB2312" w:eastAsia="仿宋_GB2312" w:hint="eastAsia"/>
          <w:sz w:val="32"/>
          <w:szCs w:val="32"/>
        </w:rPr>
        <w:lastRenderedPageBreak/>
        <w:t>和人才建设汇聚新动能、安全稳定工作取得新进展等七个方面。</w:t>
      </w:r>
    </w:p>
    <w:p w:rsidR="000C4654" w:rsidRDefault="002321B0">
      <w:pPr>
        <w:pStyle w:val="2"/>
        <w:spacing w:before="0" w:after="0" w:line="600" w:lineRule="exact"/>
        <w:ind w:firstLineChars="200" w:firstLine="640"/>
        <w:rPr>
          <w:rFonts w:ascii="楷体" w:eastAsia="楷体" w:hAnsi="楷体"/>
          <w:b w:val="0"/>
        </w:rPr>
      </w:pPr>
      <w:r>
        <w:rPr>
          <w:rFonts w:ascii="楷体" w:eastAsia="楷体" w:hAnsi="楷体" w:hint="eastAsia"/>
          <w:b w:val="0"/>
        </w:rPr>
        <w:t>（二）部门整体支出预算执行情况</w:t>
      </w:r>
      <w:bookmarkEnd w:id="6"/>
    </w:p>
    <w:p w:rsidR="000C4654" w:rsidRDefault="002321B0">
      <w:pPr>
        <w:spacing w:line="600" w:lineRule="exact"/>
        <w:ind w:firstLineChars="200" w:firstLine="640"/>
        <w:rPr>
          <w:rFonts w:ascii="仿宋_GB2312" w:eastAsia="仿宋_GB2312"/>
          <w:sz w:val="32"/>
          <w:szCs w:val="32"/>
        </w:rPr>
      </w:pPr>
      <w:bookmarkStart w:id="7" w:name="_Toc24624024"/>
      <w:r>
        <w:rPr>
          <w:rFonts w:ascii="仿宋_GB2312" w:eastAsia="仿宋_GB2312" w:hint="eastAsia"/>
          <w:sz w:val="32"/>
          <w:szCs w:val="32"/>
        </w:rPr>
        <w:t>1.部门整体收支情况</w:t>
      </w:r>
      <w:bookmarkEnd w:id="7"/>
    </w:p>
    <w:p w:rsidR="000C4654" w:rsidRDefault="002321B0">
      <w:pPr>
        <w:spacing w:line="600" w:lineRule="exact"/>
        <w:ind w:firstLineChars="200" w:firstLine="640"/>
        <w:rPr>
          <w:rFonts w:ascii="仿宋_GB2312" w:eastAsia="仿宋_GB2312"/>
          <w:sz w:val="32"/>
          <w:szCs w:val="32"/>
        </w:rPr>
      </w:pPr>
      <w:bookmarkStart w:id="8" w:name="_Toc24624025"/>
      <w:r>
        <w:rPr>
          <w:rFonts w:ascii="仿宋_GB2312" w:eastAsia="仿宋_GB2312" w:hint="eastAsia"/>
          <w:sz w:val="32"/>
          <w:szCs w:val="32"/>
        </w:rPr>
        <w:t>市</w:t>
      </w:r>
      <w:proofErr w:type="gramStart"/>
      <w:r>
        <w:rPr>
          <w:rFonts w:ascii="仿宋_GB2312" w:eastAsia="仿宋_GB2312" w:hint="eastAsia"/>
          <w:sz w:val="32"/>
          <w:szCs w:val="32"/>
        </w:rPr>
        <w:t>卫健委2024年度</w:t>
      </w:r>
      <w:proofErr w:type="gramEnd"/>
      <w:r>
        <w:rPr>
          <w:rFonts w:ascii="仿宋_GB2312" w:eastAsia="仿宋_GB2312" w:hint="eastAsia"/>
          <w:sz w:val="32"/>
          <w:szCs w:val="32"/>
        </w:rPr>
        <w:t>收入年初预算数9554.56万元，全部为财政补助收入；本年收入决算数3.39亿元，包括本年收入2.84亿元，上年结转结余5489.8万元。</w:t>
      </w:r>
    </w:p>
    <w:p w:rsidR="000C4654" w:rsidRDefault="002321B0">
      <w:pPr>
        <w:spacing w:line="600" w:lineRule="exact"/>
        <w:ind w:firstLineChars="200" w:firstLine="640"/>
      </w:pPr>
      <w:r>
        <w:rPr>
          <w:rFonts w:ascii="仿宋_GB2312" w:eastAsia="仿宋_GB2312" w:hint="eastAsia"/>
          <w:sz w:val="32"/>
          <w:szCs w:val="32"/>
        </w:rPr>
        <w:t>支出年初预算数9554.56万元，支出决算数3.39亿元，其中基本支出7697.02万元、项目支出2.29亿元，年末结转和结余3326.28万元。</w:t>
      </w:r>
    </w:p>
    <w:p w:rsidR="000C4654" w:rsidRDefault="002321B0">
      <w:pPr>
        <w:spacing w:line="600" w:lineRule="exact"/>
        <w:ind w:firstLineChars="200" w:firstLine="640"/>
        <w:rPr>
          <w:rFonts w:ascii="仿宋_GB2312" w:eastAsia="仿宋_GB2312"/>
          <w:sz w:val="32"/>
          <w:szCs w:val="32"/>
        </w:rPr>
      </w:pPr>
      <w:r>
        <w:rPr>
          <w:rFonts w:ascii="仿宋_GB2312" w:eastAsia="仿宋_GB2312" w:hint="eastAsia"/>
          <w:sz w:val="32"/>
          <w:szCs w:val="32"/>
        </w:rPr>
        <w:t>2.2024年度整体支出情况简述</w:t>
      </w:r>
      <w:bookmarkEnd w:id="8"/>
    </w:p>
    <w:p w:rsidR="000C4654" w:rsidRDefault="002321B0">
      <w:pPr>
        <w:spacing w:line="600" w:lineRule="exact"/>
        <w:ind w:firstLineChars="200" w:firstLine="640"/>
        <w:rPr>
          <w:rFonts w:ascii="仿宋_GB2312" w:eastAsia="仿宋_GB2312"/>
          <w:sz w:val="32"/>
          <w:szCs w:val="32"/>
        </w:rPr>
      </w:pPr>
      <w:r>
        <w:rPr>
          <w:rFonts w:ascii="仿宋_GB2312" w:eastAsia="仿宋_GB2312" w:hint="eastAsia"/>
          <w:sz w:val="32"/>
          <w:szCs w:val="32"/>
        </w:rPr>
        <w:t>2024年市</w:t>
      </w:r>
      <w:proofErr w:type="gramStart"/>
      <w:r>
        <w:rPr>
          <w:rFonts w:ascii="仿宋_GB2312" w:eastAsia="仿宋_GB2312" w:hint="eastAsia"/>
          <w:sz w:val="32"/>
          <w:szCs w:val="32"/>
        </w:rPr>
        <w:t>卫健委本年</w:t>
      </w:r>
      <w:proofErr w:type="gramEnd"/>
      <w:r>
        <w:rPr>
          <w:rFonts w:ascii="仿宋_GB2312" w:eastAsia="仿宋_GB2312" w:hint="eastAsia"/>
          <w:sz w:val="32"/>
          <w:szCs w:val="32"/>
        </w:rPr>
        <w:t>支出合计3.06亿元，其中，基本支出7697.02万元，项目支出2.29亿元。</w:t>
      </w:r>
    </w:p>
    <w:p w:rsidR="000C4654" w:rsidRDefault="002321B0">
      <w:pPr>
        <w:spacing w:line="600" w:lineRule="exact"/>
        <w:ind w:firstLineChars="200" w:firstLine="640"/>
        <w:rPr>
          <w:rFonts w:ascii="仿宋_GB2312" w:eastAsia="仿宋_GB2312"/>
          <w:sz w:val="32"/>
          <w:szCs w:val="32"/>
        </w:rPr>
      </w:pPr>
      <w:r>
        <w:rPr>
          <w:rFonts w:ascii="仿宋_GB2312" w:eastAsia="仿宋_GB2312" w:hint="eastAsia"/>
          <w:sz w:val="32"/>
          <w:szCs w:val="32"/>
        </w:rPr>
        <w:t>（1）基本支出</w:t>
      </w:r>
    </w:p>
    <w:p w:rsidR="000C4654" w:rsidRDefault="002321B0">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基本支出主要用于保障部门职能的履行和机构日常运转，包括人员经费和日常公用经费支出。2024年基本支出7697.02</w:t>
      </w:r>
      <w:r>
        <w:rPr>
          <w:rStyle w:val="aa"/>
          <w:rFonts w:ascii="仿宋_GB2312" w:eastAsia="仿宋_GB2312" w:hint="eastAsia"/>
          <w:sz w:val="32"/>
          <w:szCs w:val="32"/>
        </w:rPr>
        <w:footnoteReference w:customMarkFollows="1" w:id="2"/>
        <w:t>【1】</w:t>
      </w:r>
      <w:r>
        <w:rPr>
          <w:rFonts w:ascii="仿宋_GB2312" w:eastAsia="仿宋_GB2312" w:hint="eastAsia"/>
          <w:sz w:val="32"/>
          <w:szCs w:val="32"/>
        </w:rPr>
        <w:t>万元，人员经费7255.88万元，日常公用经费441.14万元。</w:t>
      </w:r>
    </w:p>
    <w:p w:rsidR="000C4654" w:rsidRDefault="002321B0">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bCs/>
          <w:sz w:val="32"/>
          <w:szCs w:val="32"/>
        </w:rPr>
        <w:t>三公两费</w:t>
      </w:r>
      <w:r>
        <w:rPr>
          <w:rFonts w:ascii="仿宋_GB2312" w:eastAsia="仿宋_GB2312" w:hint="eastAsia"/>
          <w:sz w:val="32"/>
          <w:szCs w:val="32"/>
        </w:rPr>
        <w:t>”使用情况</w:t>
      </w:r>
    </w:p>
    <w:p w:rsidR="000C4654" w:rsidRDefault="002321B0">
      <w:pPr>
        <w:spacing w:line="600" w:lineRule="exact"/>
        <w:ind w:firstLineChars="200" w:firstLine="640"/>
        <w:rPr>
          <w:rFonts w:ascii="仿宋_GB2312" w:eastAsia="仿宋_GB2312"/>
          <w:sz w:val="32"/>
          <w:szCs w:val="32"/>
        </w:rPr>
      </w:pPr>
      <w:r>
        <w:rPr>
          <w:rFonts w:ascii="仿宋_GB2312" w:eastAsia="仿宋_GB2312" w:hint="eastAsia"/>
          <w:sz w:val="32"/>
          <w:szCs w:val="32"/>
        </w:rPr>
        <w:t>2024年度，市</w:t>
      </w:r>
      <w:proofErr w:type="gramStart"/>
      <w:r>
        <w:rPr>
          <w:rFonts w:ascii="仿宋_GB2312" w:eastAsia="仿宋_GB2312" w:hint="eastAsia"/>
          <w:sz w:val="32"/>
          <w:szCs w:val="32"/>
        </w:rPr>
        <w:t>卫健委“</w:t>
      </w:r>
      <w:r>
        <w:rPr>
          <w:rFonts w:ascii="仿宋_GB2312" w:eastAsia="仿宋_GB2312"/>
          <w:sz w:val="32"/>
          <w:szCs w:val="32"/>
        </w:rPr>
        <w:t>三公两费</w:t>
      </w:r>
      <w:r>
        <w:rPr>
          <w:rFonts w:ascii="仿宋_GB2312" w:eastAsia="仿宋_GB2312" w:hint="eastAsia"/>
          <w:sz w:val="32"/>
          <w:szCs w:val="32"/>
        </w:rPr>
        <w:t>”</w:t>
      </w:r>
      <w:proofErr w:type="gramEnd"/>
      <w:r>
        <w:rPr>
          <w:rFonts w:ascii="仿宋_GB2312" w:eastAsia="仿宋_GB2312" w:hint="eastAsia"/>
          <w:sz w:val="32"/>
          <w:szCs w:val="32"/>
        </w:rPr>
        <w:t>实际支出142.68万元，具体支出明细详见下表：</w:t>
      </w:r>
    </w:p>
    <w:p w:rsidR="000C4654" w:rsidRDefault="002321B0">
      <w:pPr>
        <w:pStyle w:val="ab"/>
      </w:pPr>
      <w:r>
        <w:rPr>
          <w:rFonts w:hint="eastAsia"/>
        </w:rPr>
        <w:t>市</w:t>
      </w:r>
      <w:proofErr w:type="gramStart"/>
      <w:r>
        <w:rPr>
          <w:rFonts w:hint="eastAsia"/>
        </w:rPr>
        <w:t>卫健委</w:t>
      </w:r>
      <w:r>
        <w:rPr>
          <w:rFonts w:hint="eastAsia"/>
        </w:rPr>
        <w:t>2024</w:t>
      </w:r>
      <w:r>
        <w:rPr>
          <w:rFonts w:hint="eastAsia"/>
        </w:rPr>
        <w:t>年度</w:t>
      </w:r>
      <w:proofErr w:type="gramEnd"/>
      <w:r>
        <w:rPr>
          <w:rFonts w:hint="eastAsia"/>
        </w:rPr>
        <w:t>“三公两费”明细表</w:t>
      </w:r>
    </w:p>
    <w:p w:rsidR="000C4654" w:rsidRDefault="002321B0">
      <w:pPr>
        <w:jc w:val="right"/>
        <w:rPr>
          <w:rFonts w:ascii="仿宋_GB2312" w:eastAsia="仿宋_GB2312"/>
          <w:b/>
          <w:szCs w:val="28"/>
        </w:rPr>
      </w:pPr>
      <w:r>
        <w:rPr>
          <w:rFonts w:ascii="仿宋_GB2312" w:eastAsia="仿宋_GB2312" w:hint="eastAsia"/>
          <w:b/>
          <w:szCs w:val="28"/>
        </w:rPr>
        <w:lastRenderedPageBreak/>
        <w:t>单位：万元</w:t>
      </w:r>
    </w:p>
    <w:tbl>
      <w:tblPr>
        <w:tblW w:w="6165" w:type="dxa"/>
        <w:jc w:val="center"/>
        <w:tblLook w:val="04A0"/>
      </w:tblPr>
      <w:tblGrid>
        <w:gridCol w:w="4005"/>
        <w:gridCol w:w="1080"/>
        <w:gridCol w:w="1080"/>
      </w:tblGrid>
      <w:tr w:rsidR="000C4654">
        <w:trPr>
          <w:trHeight w:val="270"/>
          <w:jc w:val="center"/>
        </w:trPr>
        <w:tc>
          <w:tcPr>
            <w:tcW w:w="4005" w:type="dxa"/>
            <w:tcBorders>
              <w:top w:val="single" w:sz="4" w:space="0" w:color="auto"/>
              <w:left w:val="single" w:sz="4" w:space="0" w:color="auto"/>
              <w:bottom w:val="single" w:sz="4" w:space="0" w:color="000000"/>
              <w:right w:val="single" w:sz="4" w:space="0" w:color="000000"/>
            </w:tcBorders>
            <w:shd w:val="clear" w:color="auto" w:fill="auto"/>
            <w:noWrap/>
            <w:vAlign w:val="center"/>
          </w:tcPr>
          <w:p w:rsidR="000C4654" w:rsidRDefault="002321B0">
            <w:pPr>
              <w:jc w:val="center"/>
              <w:textAlignment w:val="center"/>
              <w:rPr>
                <w:rFonts w:ascii="宋体" w:hAnsi="宋体" w:cs="宋体"/>
                <w:color w:val="000000"/>
                <w:sz w:val="20"/>
              </w:rPr>
            </w:pPr>
            <w:r>
              <w:rPr>
                <w:rFonts w:ascii="宋体" w:hAnsi="宋体" w:cs="宋体" w:hint="eastAsia"/>
                <w:color w:val="000000"/>
                <w:sz w:val="20"/>
              </w:rPr>
              <w:t>项目</w:t>
            </w:r>
          </w:p>
        </w:tc>
        <w:tc>
          <w:tcPr>
            <w:tcW w:w="1080" w:type="dxa"/>
            <w:tcBorders>
              <w:top w:val="single" w:sz="4" w:space="0" w:color="auto"/>
              <w:left w:val="nil"/>
              <w:bottom w:val="single" w:sz="4" w:space="0" w:color="000000"/>
              <w:right w:val="single" w:sz="4" w:space="0" w:color="000000"/>
            </w:tcBorders>
            <w:shd w:val="clear" w:color="auto" w:fill="auto"/>
            <w:noWrap/>
            <w:vAlign w:val="center"/>
          </w:tcPr>
          <w:p w:rsidR="000C4654" w:rsidRDefault="002321B0">
            <w:pPr>
              <w:jc w:val="center"/>
              <w:textAlignment w:val="center"/>
              <w:rPr>
                <w:rFonts w:ascii="宋体" w:hAnsi="宋体" w:cs="宋体"/>
                <w:color w:val="000000"/>
                <w:sz w:val="20"/>
              </w:rPr>
            </w:pPr>
            <w:r>
              <w:rPr>
                <w:rFonts w:ascii="宋体" w:hAnsi="宋体" w:cs="宋体" w:hint="eastAsia"/>
                <w:color w:val="000000"/>
                <w:sz w:val="20"/>
              </w:rPr>
              <w:t>预算数</w:t>
            </w:r>
          </w:p>
        </w:tc>
        <w:tc>
          <w:tcPr>
            <w:tcW w:w="1080" w:type="dxa"/>
            <w:tcBorders>
              <w:top w:val="single" w:sz="4" w:space="0" w:color="auto"/>
              <w:left w:val="nil"/>
              <w:bottom w:val="single" w:sz="4" w:space="0" w:color="000000"/>
              <w:right w:val="single" w:sz="4" w:space="0" w:color="auto"/>
            </w:tcBorders>
            <w:shd w:val="clear" w:color="auto" w:fill="auto"/>
            <w:noWrap/>
            <w:vAlign w:val="center"/>
          </w:tcPr>
          <w:p w:rsidR="000C4654" w:rsidRDefault="002321B0">
            <w:pPr>
              <w:jc w:val="center"/>
              <w:textAlignment w:val="center"/>
              <w:rPr>
                <w:rFonts w:ascii="宋体" w:hAnsi="宋体" w:cs="宋体"/>
                <w:color w:val="000000"/>
                <w:sz w:val="20"/>
              </w:rPr>
            </w:pPr>
            <w:r>
              <w:rPr>
                <w:rFonts w:ascii="宋体" w:hAnsi="宋体" w:cs="宋体" w:hint="eastAsia"/>
                <w:color w:val="000000"/>
                <w:sz w:val="20"/>
              </w:rPr>
              <w:t>决算数</w:t>
            </w:r>
          </w:p>
        </w:tc>
      </w:tr>
      <w:tr w:rsidR="000C4654">
        <w:trPr>
          <w:trHeight w:val="270"/>
          <w:jc w:val="center"/>
        </w:trPr>
        <w:tc>
          <w:tcPr>
            <w:tcW w:w="0" w:type="auto"/>
            <w:tcBorders>
              <w:top w:val="nil"/>
              <w:left w:val="single" w:sz="4" w:space="0" w:color="auto"/>
              <w:bottom w:val="single" w:sz="4" w:space="0" w:color="000000"/>
              <w:right w:val="single" w:sz="4" w:space="0" w:color="000000"/>
            </w:tcBorders>
            <w:shd w:val="clear" w:color="auto" w:fill="auto"/>
            <w:noWrap/>
            <w:vAlign w:val="center"/>
          </w:tcPr>
          <w:p w:rsidR="000C4654" w:rsidRDefault="002321B0">
            <w:pPr>
              <w:jc w:val="left"/>
              <w:textAlignment w:val="center"/>
              <w:rPr>
                <w:rFonts w:ascii="宋体" w:hAnsi="宋体" w:cs="宋体"/>
                <w:color w:val="000000"/>
                <w:sz w:val="20"/>
              </w:rPr>
            </w:pPr>
            <w:r>
              <w:rPr>
                <w:rFonts w:ascii="宋体" w:hAnsi="宋体" w:cs="宋体" w:hint="eastAsia"/>
                <w:color w:val="000000"/>
                <w:sz w:val="20"/>
              </w:rPr>
              <w:t>一、“三公”经费支出</w:t>
            </w:r>
          </w:p>
        </w:tc>
        <w:tc>
          <w:tcPr>
            <w:tcW w:w="0" w:type="auto"/>
            <w:tcBorders>
              <w:top w:val="nil"/>
              <w:left w:val="nil"/>
              <w:bottom w:val="single" w:sz="4" w:space="0" w:color="000000"/>
              <w:right w:val="single" w:sz="4" w:space="0" w:color="000000"/>
            </w:tcBorders>
            <w:shd w:val="clear" w:color="auto" w:fill="auto"/>
            <w:noWrap/>
            <w:vAlign w:val="center"/>
          </w:tcPr>
          <w:p w:rsidR="000C4654" w:rsidRDefault="000C4654">
            <w:pPr>
              <w:jc w:val="center"/>
              <w:rPr>
                <w:rFonts w:ascii="宋体" w:hAnsi="宋体" w:cs="宋体"/>
                <w:color w:val="000000"/>
                <w:sz w:val="20"/>
              </w:rPr>
            </w:pPr>
          </w:p>
        </w:tc>
        <w:tc>
          <w:tcPr>
            <w:tcW w:w="0" w:type="auto"/>
            <w:tcBorders>
              <w:top w:val="nil"/>
              <w:left w:val="nil"/>
              <w:bottom w:val="single" w:sz="4" w:space="0" w:color="000000"/>
              <w:right w:val="single" w:sz="4" w:space="0" w:color="auto"/>
            </w:tcBorders>
            <w:shd w:val="clear" w:color="auto" w:fill="auto"/>
            <w:noWrap/>
            <w:vAlign w:val="center"/>
          </w:tcPr>
          <w:p w:rsidR="000C4654" w:rsidRDefault="000C4654">
            <w:pPr>
              <w:jc w:val="center"/>
              <w:rPr>
                <w:rFonts w:ascii="宋体" w:hAnsi="宋体" w:cs="宋体"/>
                <w:color w:val="000000"/>
                <w:sz w:val="20"/>
              </w:rPr>
            </w:pPr>
          </w:p>
        </w:tc>
      </w:tr>
      <w:tr w:rsidR="000C4654">
        <w:trPr>
          <w:trHeight w:val="270"/>
          <w:jc w:val="center"/>
        </w:trPr>
        <w:tc>
          <w:tcPr>
            <w:tcW w:w="0" w:type="auto"/>
            <w:tcBorders>
              <w:top w:val="nil"/>
              <w:left w:val="single" w:sz="4" w:space="0" w:color="auto"/>
              <w:bottom w:val="single" w:sz="4" w:space="0" w:color="auto"/>
              <w:right w:val="single" w:sz="4" w:space="0" w:color="000000"/>
            </w:tcBorders>
            <w:shd w:val="clear" w:color="auto" w:fill="auto"/>
            <w:noWrap/>
            <w:vAlign w:val="center"/>
          </w:tcPr>
          <w:p w:rsidR="000C4654" w:rsidRDefault="002321B0">
            <w:pPr>
              <w:jc w:val="left"/>
              <w:textAlignment w:val="center"/>
              <w:rPr>
                <w:rFonts w:ascii="宋体" w:hAnsi="宋体" w:cs="宋体"/>
                <w:color w:val="000000"/>
                <w:sz w:val="20"/>
              </w:rPr>
            </w:pPr>
            <w:r>
              <w:rPr>
                <w:rFonts w:ascii="宋体" w:hAnsi="宋体" w:cs="宋体" w:hint="eastAsia"/>
                <w:color w:val="000000"/>
                <w:sz w:val="20"/>
              </w:rPr>
              <w:t xml:space="preserve">  （一）支出合计</w:t>
            </w:r>
          </w:p>
        </w:tc>
        <w:tc>
          <w:tcPr>
            <w:tcW w:w="0" w:type="auto"/>
            <w:tcBorders>
              <w:top w:val="nil"/>
              <w:left w:val="nil"/>
              <w:bottom w:val="single" w:sz="4" w:space="0" w:color="auto"/>
              <w:right w:val="single" w:sz="4" w:space="0" w:color="000000"/>
            </w:tcBorders>
            <w:shd w:val="clear" w:color="auto" w:fill="auto"/>
            <w:noWrap/>
            <w:vAlign w:val="center"/>
          </w:tcPr>
          <w:p w:rsidR="000C4654" w:rsidRDefault="002321B0">
            <w:pPr>
              <w:jc w:val="right"/>
              <w:textAlignment w:val="center"/>
              <w:rPr>
                <w:rFonts w:ascii="宋体" w:hAnsi="宋体" w:cs="宋体"/>
                <w:color w:val="000000"/>
                <w:sz w:val="20"/>
              </w:rPr>
            </w:pPr>
            <w:r>
              <w:rPr>
                <w:rFonts w:ascii="宋体" w:hAnsi="宋体" w:cs="宋体" w:hint="eastAsia"/>
                <w:color w:val="000000"/>
                <w:sz w:val="20"/>
              </w:rPr>
              <w:t>38.25</w:t>
            </w:r>
          </w:p>
        </w:tc>
        <w:tc>
          <w:tcPr>
            <w:tcW w:w="0" w:type="auto"/>
            <w:tcBorders>
              <w:top w:val="nil"/>
              <w:left w:val="nil"/>
              <w:bottom w:val="single" w:sz="4" w:space="0" w:color="auto"/>
              <w:right w:val="single" w:sz="4" w:space="0" w:color="auto"/>
            </w:tcBorders>
            <w:shd w:val="clear" w:color="auto" w:fill="auto"/>
            <w:noWrap/>
            <w:vAlign w:val="center"/>
          </w:tcPr>
          <w:p w:rsidR="000C4654" w:rsidRDefault="002321B0">
            <w:pPr>
              <w:jc w:val="right"/>
              <w:textAlignment w:val="center"/>
              <w:rPr>
                <w:rFonts w:ascii="宋体" w:hAnsi="宋体" w:cs="宋体"/>
                <w:color w:val="000000"/>
                <w:sz w:val="20"/>
              </w:rPr>
            </w:pPr>
            <w:r>
              <w:rPr>
                <w:rFonts w:ascii="宋体" w:hAnsi="宋体" w:cs="宋体" w:hint="eastAsia"/>
                <w:color w:val="000000"/>
                <w:sz w:val="20"/>
              </w:rPr>
              <w:t>28.35</w:t>
            </w:r>
          </w:p>
        </w:tc>
      </w:tr>
      <w:tr w:rsidR="000C4654">
        <w:trPr>
          <w:trHeight w:val="270"/>
          <w:jc w:val="center"/>
        </w:trPr>
        <w:tc>
          <w:tcPr>
            <w:tcW w:w="0" w:type="auto"/>
            <w:tcBorders>
              <w:top w:val="single" w:sz="4" w:space="0" w:color="auto"/>
              <w:left w:val="single" w:sz="12" w:space="0" w:color="000000"/>
              <w:bottom w:val="single" w:sz="4" w:space="0" w:color="000000"/>
              <w:right w:val="single" w:sz="4" w:space="0" w:color="000000"/>
            </w:tcBorders>
            <w:shd w:val="clear" w:color="auto" w:fill="auto"/>
            <w:noWrap/>
            <w:vAlign w:val="center"/>
          </w:tcPr>
          <w:p w:rsidR="000C4654" w:rsidRDefault="002321B0">
            <w:pPr>
              <w:jc w:val="left"/>
              <w:textAlignment w:val="center"/>
              <w:rPr>
                <w:rFonts w:ascii="宋体" w:hAnsi="宋体" w:cs="宋体"/>
                <w:color w:val="000000"/>
                <w:sz w:val="20"/>
              </w:rPr>
            </w:pPr>
            <w:r>
              <w:rPr>
                <w:rFonts w:ascii="宋体" w:hAnsi="宋体" w:cs="宋体" w:hint="eastAsia"/>
                <w:color w:val="000000"/>
                <w:sz w:val="20"/>
              </w:rPr>
              <w:t xml:space="preserve">     1．因公出国（境）费</w:t>
            </w:r>
          </w:p>
        </w:tc>
        <w:tc>
          <w:tcPr>
            <w:tcW w:w="0" w:type="auto"/>
            <w:tcBorders>
              <w:top w:val="single" w:sz="4" w:space="0" w:color="auto"/>
              <w:left w:val="nil"/>
              <w:bottom w:val="single" w:sz="4" w:space="0" w:color="000000"/>
              <w:right w:val="single" w:sz="4" w:space="0" w:color="000000"/>
            </w:tcBorders>
            <w:shd w:val="clear" w:color="auto" w:fill="auto"/>
            <w:noWrap/>
            <w:vAlign w:val="center"/>
          </w:tcPr>
          <w:p w:rsidR="000C4654" w:rsidRDefault="002321B0">
            <w:pPr>
              <w:jc w:val="right"/>
              <w:textAlignment w:val="center"/>
              <w:rPr>
                <w:rFonts w:ascii="宋体" w:hAnsi="宋体" w:cs="宋体"/>
                <w:color w:val="000000"/>
                <w:sz w:val="20"/>
              </w:rPr>
            </w:pPr>
            <w:r>
              <w:rPr>
                <w:rFonts w:ascii="宋体" w:hAnsi="宋体" w:cs="宋体" w:hint="eastAsia"/>
                <w:color w:val="000000"/>
                <w:sz w:val="20"/>
              </w:rPr>
              <w:t>16.8</w:t>
            </w:r>
          </w:p>
        </w:tc>
        <w:tc>
          <w:tcPr>
            <w:tcW w:w="0" w:type="auto"/>
            <w:tcBorders>
              <w:top w:val="single" w:sz="4" w:space="0" w:color="auto"/>
              <w:left w:val="nil"/>
              <w:bottom w:val="single" w:sz="4" w:space="0" w:color="000000"/>
              <w:right w:val="single" w:sz="4" w:space="0" w:color="000000"/>
            </w:tcBorders>
            <w:shd w:val="clear" w:color="auto" w:fill="auto"/>
            <w:noWrap/>
            <w:vAlign w:val="center"/>
          </w:tcPr>
          <w:p w:rsidR="000C4654" w:rsidRDefault="002321B0">
            <w:pPr>
              <w:jc w:val="right"/>
              <w:textAlignment w:val="center"/>
              <w:rPr>
                <w:rFonts w:ascii="宋体" w:hAnsi="宋体" w:cs="宋体"/>
                <w:color w:val="000000"/>
                <w:sz w:val="20"/>
              </w:rPr>
            </w:pPr>
            <w:r>
              <w:rPr>
                <w:rFonts w:ascii="宋体" w:hAnsi="宋体" w:cs="宋体" w:hint="eastAsia"/>
                <w:color w:val="000000"/>
                <w:sz w:val="20"/>
              </w:rPr>
              <w:t>16.8</w:t>
            </w:r>
          </w:p>
        </w:tc>
      </w:tr>
      <w:tr w:rsidR="000C4654">
        <w:trPr>
          <w:trHeight w:val="270"/>
          <w:jc w:val="center"/>
        </w:trPr>
        <w:tc>
          <w:tcPr>
            <w:tcW w:w="0" w:type="auto"/>
            <w:tcBorders>
              <w:top w:val="nil"/>
              <w:left w:val="single" w:sz="12" w:space="0" w:color="000000"/>
              <w:bottom w:val="single" w:sz="4" w:space="0" w:color="000000"/>
              <w:right w:val="single" w:sz="4" w:space="0" w:color="000000"/>
            </w:tcBorders>
            <w:shd w:val="clear" w:color="auto" w:fill="auto"/>
            <w:noWrap/>
            <w:vAlign w:val="center"/>
          </w:tcPr>
          <w:p w:rsidR="000C4654" w:rsidRDefault="002321B0">
            <w:pPr>
              <w:jc w:val="left"/>
              <w:textAlignment w:val="center"/>
              <w:rPr>
                <w:rFonts w:ascii="宋体" w:hAnsi="宋体" w:cs="宋体"/>
                <w:color w:val="000000"/>
                <w:sz w:val="20"/>
              </w:rPr>
            </w:pPr>
            <w:r>
              <w:rPr>
                <w:rFonts w:ascii="宋体" w:hAnsi="宋体" w:cs="宋体" w:hint="eastAsia"/>
                <w:color w:val="000000"/>
                <w:sz w:val="20"/>
              </w:rPr>
              <w:t xml:space="preserve">     2．公务用车购置及运行维护费</w:t>
            </w:r>
          </w:p>
        </w:tc>
        <w:tc>
          <w:tcPr>
            <w:tcW w:w="0" w:type="auto"/>
            <w:tcBorders>
              <w:top w:val="nil"/>
              <w:left w:val="nil"/>
              <w:bottom w:val="single" w:sz="4" w:space="0" w:color="000000"/>
              <w:right w:val="single" w:sz="4" w:space="0" w:color="000000"/>
            </w:tcBorders>
            <w:shd w:val="clear" w:color="auto" w:fill="auto"/>
            <w:noWrap/>
            <w:vAlign w:val="center"/>
          </w:tcPr>
          <w:p w:rsidR="000C4654" w:rsidRDefault="002321B0">
            <w:pPr>
              <w:jc w:val="right"/>
              <w:textAlignment w:val="center"/>
              <w:rPr>
                <w:rFonts w:ascii="宋体" w:hAnsi="宋体" w:cs="宋体"/>
                <w:color w:val="000000"/>
                <w:sz w:val="20"/>
              </w:rPr>
            </w:pPr>
            <w:r>
              <w:rPr>
                <w:rFonts w:ascii="宋体" w:hAnsi="宋体" w:cs="宋体" w:hint="eastAsia"/>
                <w:color w:val="000000"/>
                <w:sz w:val="20"/>
              </w:rPr>
              <w:t>6.05</w:t>
            </w:r>
          </w:p>
        </w:tc>
        <w:tc>
          <w:tcPr>
            <w:tcW w:w="0" w:type="auto"/>
            <w:tcBorders>
              <w:top w:val="nil"/>
              <w:left w:val="nil"/>
              <w:bottom w:val="single" w:sz="4" w:space="0" w:color="000000"/>
              <w:right w:val="single" w:sz="4" w:space="0" w:color="000000"/>
            </w:tcBorders>
            <w:shd w:val="clear" w:color="auto" w:fill="auto"/>
            <w:noWrap/>
            <w:vAlign w:val="center"/>
          </w:tcPr>
          <w:p w:rsidR="000C4654" w:rsidRDefault="002321B0">
            <w:pPr>
              <w:jc w:val="right"/>
              <w:textAlignment w:val="center"/>
              <w:rPr>
                <w:rFonts w:ascii="宋体" w:hAnsi="宋体" w:cs="宋体"/>
                <w:color w:val="000000"/>
                <w:sz w:val="20"/>
              </w:rPr>
            </w:pPr>
            <w:r>
              <w:rPr>
                <w:rFonts w:ascii="宋体" w:hAnsi="宋体" w:cs="宋体" w:hint="eastAsia"/>
                <w:color w:val="000000"/>
                <w:sz w:val="20"/>
              </w:rPr>
              <w:t>5.81</w:t>
            </w:r>
          </w:p>
        </w:tc>
      </w:tr>
      <w:tr w:rsidR="000C4654">
        <w:trPr>
          <w:trHeight w:val="270"/>
          <w:jc w:val="center"/>
        </w:trPr>
        <w:tc>
          <w:tcPr>
            <w:tcW w:w="0" w:type="auto"/>
            <w:tcBorders>
              <w:top w:val="nil"/>
              <w:left w:val="single" w:sz="12" w:space="0" w:color="000000"/>
              <w:bottom w:val="single" w:sz="4" w:space="0" w:color="000000"/>
              <w:right w:val="single" w:sz="4" w:space="0" w:color="000000"/>
            </w:tcBorders>
            <w:shd w:val="clear" w:color="auto" w:fill="auto"/>
            <w:noWrap/>
            <w:vAlign w:val="center"/>
          </w:tcPr>
          <w:p w:rsidR="000C4654" w:rsidRDefault="002321B0">
            <w:pPr>
              <w:jc w:val="left"/>
              <w:textAlignment w:val="center"/>
              <w:rPr>
                <w:rFonts w:ascii="宋体" w:hAnsi="宋体" w:cs="宋体"/>
                <w:color w:val="000000"/>
                <w:sz w:val="20"/>
              </w:rPr>
            </w:pPr>
            <w:r>
              <w:rPr>
                <w:rFonts w:ascii="宋体" w:hAnsi="宋体" w:cs="宋体" w:hint="eastAsia"/>
                <w:color w:val="000000"/>
                <w:sz w:val="20"/>
              </w:rPr>
              <w:t xml:space="preserve">      （1）公务用车购置费</w:t>
            </w:r>
          </w:p>
        </w:tc>
        <w:tc>
          <w:tcPr>
            <w:tcW w:w="0" w:type="auto"/>
            <w:tcBorders>
              <w:top w:val="nil"/>
              <w:left w:val="nil"/>
              <w:bottom w:val="single" w:sz="4" w:space="0" w:color="000000"/>
              <w:right w:val="single" w:sz="4" w:space="0" w:color="000000"/>
            </w:tcBorders>
            <w:shd w:val="clear" w:color="auto" w:fill="auto"/>
            <w:noWrap/>
            <w:vAlign w:val="center"/>
          </w:tcPr>
          <w:p w:rsidR="000C4654" w:rsidRDefault="002321B0">
            <w:pPr>
              <w:jc w:val="right"/>
              <w:textAlignment w:val="center"/>
              <w:rPr>
                <w:rFonts w:ascii="宋体" w:hAnsi="宋体" w:cs="宋体"/>
                <w:color w:val="000000"/>
                <w:sz w:val="20"/>
              </w:rPr>
            </w:pPr>
            <w:r>
              <w:rPr>
                <w:rFonts w:ascii="宋体" w:hAnsi="宋体" w:cs="宋体" w:hint="eastAsia"/>
                <w:color w:val="000000"/>
                <w:sz w:val="20"/>
              </w:rPr>
              <w:t>0</w:t>
            </w:r>
          </w:p>
        </w:tc>
        <w:tc>
          <w:tcPr>
            <w:tcW w:w="0" w:type="auto"/>
            <w:tcBorders>
              <w:top w:val="nil"/>
              <w:left w:val="nil"/>
              <w:bottom w:val="single" w:sz="4" w:space="0" w:color="000000"/>
              <w:right w:val="single" w:sz="4" w:space="0" w:color="000000"/>
            </w:tcBorders>
            <w:shd w:val="clear" w:color="auto" w:fill="auto"/>
            <w:noWrap/>
            <w:vAlign w:val="center"/>
          </w:tcPr>
          <w:p w:rsidR="000C4654" w:rsidRDefault="002321B0">
            <w:pPr>
              <w:jc w:val="right"/>
              <w:textAlignment w:val="center"/>
              <w:rPr>
                <w:rFonts w:ascii="宋体" w:hAnsi="宋体" w:cs="宋体"/>
                <w:color w:val="000000"/>
                <w:sz w:val="20"/>
              </w:rPr>
            </w:pPr>
            <w:r>
              <w:rPr>
                <w:rFonts w:ascii="宋体" w:hAnsi="宋体" w:cs="宋体" w:hint="eastAsia"/>
                <w:color w:val="000000"/>
                <w:sz w:val="20"/>
              </w:rPr>
              <w:t>0</w:t>
            </w:r>
          </w:p>
        </w:tc>
      </w:tr>
      <w:tr w:rsidR="000C4654">
        <w:trPr>
          <w:trHeight w:val="270"/>
          <w:jc w:val="center"/>
        </w:trPr>
        <w:tc>
          <w:tcPr>
            <w:tcW w:w="0" w:type="auto"/>
            <w:tcBorders>
              <w:top w:val="nil"/>
              <w:left w:val="single" w:sz="12" w:space="0" w:color="000000"/>
              <w:bottom w:val="single" w:sz="4" w:space="0" w:color="000000"/>
              <w:right w:val="single" w:sz="4" w:space="0" w:color="000000"/>
            </w:tcBorders>
            <w:shd w:val="clear" w:color="auto" w:fill="auto"/>
            <w:noWrap/>
            <w:vAlign w:val="center"/>
          </w:tcPr>
          <w:p w:rsidR="000C4654" w:rsidRDefault="002321B0">
            <w:pPr>
              <w:jc w:val="left"/>
              <w:textAlignment w:val="center"/>
              <w:rPr>
                <w:rFonts w:ascii="宋体" w:hAnsi="宋体" w:cs="宋体"/>
                <w:color w:val="000000"/>
                <w:sz w:val="20"/>
              </w:rPr>
            </w:pPr>
            <w:r>
              <w:rPr>
                <w:rFonts w:ascii="宋体" w:hAnsi="宋体" w:cs="宋体" w:hint="eastAsia"/>
                <w:color w:val="000000"/>
                <w:sz w:val="20"/>
              </w:rPr>
              <w:t xml:space="preserve">      （2）公务用车运行维护费</w:t>
            </w:r>
          </w:p>
        </w:tc>
        <w:tc>
          <w:tcPr>
            <w:tcW w:w="0" w:type="auto"/>
            <w:tcBorders>
              <w:top w:val="nil"/>
              <w:left w:val="nil"/>
              <w:bottom w:val="single" w:sz="4" w:space="0" w:color="000000"/>
              <w:right w:val="single" w:sz="4" w:space="0" w:color="000000"/>
            </w:tcBorders>
            <w:shd w:val="clear" w:color="auto" w:fill="auto"/>
            <w:noWrap/>
            <w:vAlign w:val="center"/>
          </w:tcPr>
          <w:p w:rsidR="000C4654" w:rsidRDefault="002321B0">
            <w:pPr>
              <w:jc w:val="right"/>
              <w:textAlignment w:val="center"/>
              <w:rPr>
                <w:rFonts w:ascii="宋体" w:hAnsi="宋体" w:cs="宋体"/>
                <w:color w:val="000000"/>
                <w:sz w:val="20"/>
              </w:rPr>
            </w:pPr>
            <w:r>
              <w:rPr>
                <w:rFonts w:ascii="宋体" w:hAnsi="宋体" w:cs="宋体" w:hint="eastAsia"/>
                <w:color w:val="000000"/>
                <w:sz w:val="20"/>
              </w:rPr>
              <w:t>6.05</w:t>
            </w:r>
          </w:p>
        </w:tc>
        <w:tc>
          <w:tcPr>
            <w:tcW w:w="0" w:type="auto"/>
            <w:tcBorders>
              <w:top w:val="nil"/>
              <w:left w:val="nil"/>
              <w:bottom w:val="single" w:sz="4" w:space="0" w:color="000000"/>
              <w:right w:val="single" w:sz="4" w:space="0" w:color="000000"/>
            </w:tcBorders>
            <w:shd w:val="clear" w:color="auto" w:fill="auto"/>
            <w:noWrap/>
            <w:vAlign w:val="center"/>
          </w:tcPr>
          <w:p w:rsidR="000C4654" w:rsidRDefault="002321B0">
            <w:pPr>
              <w:jc w:val="right"/>
              <w:textAlignment w:val="center"/>
              <w:rPr>
                <w:rFonts w:ascii="宋体" w:hAnsi="宋体" w:cs="宋体"/>
                <w:color w:val="000000"/>
                <w:sz w:val="20"/>
              </w:rPr>
            </w:pPr>
            <w:r>
              <w:rPr>
                <w:rFonts w:ascii="宋体" w:hAnsi="宋体" w:cs="宋体" w:hint="eastAsia"/>
                <w:color w:val="000000"/>
                <w:sz w:val="20"/>
              </w:rPr>
              <w:t>5.81</w:t>
            </w:r>
          </w:p>
        </w:tc>
      </w:tr>
      <w:tr w:rsidR="000C4654">
        <w:trPr>
          <w:trHeight w:val="270"/>
          <w:jc w:val="center"/>
        </w:trPr>
        <w:tc>
          <w:tcPr>
            <w:tcW w:w="0" w:type="auto"/>
            <w:tcBorders>
              <w:top w:val="nil"/>
              <w:left w:val="single" w:sz="12" w:space="0" w:color="000000"/>
              <w:bottom w:val="single" w:sz="4" w:space="0" w:color="000000"/>
              <w:right w:val="single" w:sz="4" w:space="0" w:color="000000"/>
            </w:tcBorders>
            <w:shd w:val="clear" w:color="auto" w:fill="auto"/>
            <w:noWrap/>
            <w:vAlign w:val="center"/>
          </w:tcPr>
          <w:p w:rsidR="000C4654" w:rsidRDefault="002321B0">
            <w:pPr>
              <w:jc w:val="left"/>
              <w:textAlignment w:val="center"/>
              <w:rPr>
                <w:rFonts w:ascii="宋体" w:hAnsi="宋体" w:cs="宋体"/>
                <w:color w:val="000000"/>
                <w:sz w:val="20"/>
              </w:rPr>
            </w:pPr>
            <w:r>
              <w:rPr>
                <w:rFonts w:ascii="宋体" w:hAnsi="宋体" w:cs="宋体" w:hint="eastAsia"/>
                <w:color w:val="000000"/>
                <w:sz w:val="20"/>
              </w:rPr>
              <w:t xml:space="preserve">     3．公务接待费</w:t>
            </w:r>
          </w:p>
        </w:tc>
        <w:tc>
          <w:tcPr>
            <w:tcW w:w="0" w:type="auto"/>
            <w:tcBorders>
              <w:top w:val="nil"/>
              <w:left w:val="nil"/>
              <w:bottom w:val="single" w:sz="4" w:space="0" w:color="000000"/>
              <w:right w:val="single" w:sz="4" w:space="0" w:color="000000"/>
            </w:tcBorders>
            <w:shd w:val="clear" w:color="auto" w:fill="auto"/>
            <w:noWrap/>
            <w:vAlign w:val="center"/>
          </w:tcPr>
          <w:p w:rsidR="000C4654" w:rsidRDefault="002321B0">
            <w:pPr>
              <w:jc w:val="right"/>
              <w:textAlignment w:val="center"/>
              <w:rPr>
                <w:rFonts w:ascii="宋体" w:hAnsi="宋体" w:cs="宋体"/>
                <w:color w:val="000000"/>
                <w:sz w:val="20"/>
              </w:rPr>
            </w:pPr>
            <w:r>
              <w:rPr>
                <w:rFonts w:ascii="宋体" w:hAnsi="宋体" w:cs="宋体" w:hint="eastAsia"/>
                <w:color w:val="000000"/>
                <w:sz w:val="20"/>
              </w:rPr>
              <w:t>15.4</w:t>
            </w:r>
          </w:p>
        </w:tc>
        <w:tc>
          <w:tcPr>
            <w:tcW w:w="0" w:type="auto"/>
            <w:tcBorders>
              <w:top w:val="nil"/>
              <w:left w:val="nil"/>
              <w:bottom w:val="single" w:sz="4" w:space="0" w:color="000000"/>
              <w:right w:val="single" w:sz="4" w:space="0" w:color="000000"/>
            </w:tcBorders>
            <w:shd w:val="clear" w:color="auto" w:fill="auto"/>
            <w:noWrap/>
            <w:vAlign w:val="center"/>
          </w:tcPr>
          <w:p w:rsidR="000C4654" w:rsidRDefault="002321B0">
            <w:pPr>
              <w:jc w:val="right"/>
              <w:textAlignment w:val="center"/>
              <w:rPr>
                <w:rFonts w:ascii="宋体" w:hAnsi="宋体" w:cs="宋体"/>
                <w:color w:val="000000"/>
                <w:sz w:val="20"/>
              </w:rPr>
            </w:pPr>
            <w:r>
              <w:rPr>
                <w:rFonts w:ascii="宋体" w:hAnsi="宋体" w:cs="宋体" w:hint="eastAsia"/>
                <w:color w:val="000000"/>
                <w:sz w:val="20"/>
              </w:rPr>
              <w:t>5.74</w:t>
            </w:r>
          </w:p>
        </w:tc>
      </w:tr>
      <w:tr w:rsidR="000C4654">
        <w:trPr>
          <w:trHeight w:val="270"/>
          <w:jc w:val="center"/>
        </w:trPr>
        <w:tc>
          <w:tcPr>
            <w:tcW w:w="0" w:type="auto"/>
            <w:tcBorders>
              <w:top w:val="nil"/>
              <w:left w:val="single" w:sz="12" w:space="0" w:color="000000"/>
              <w:bottom w:val="single" w:sz="4" w:space="0" w:color="000000"/>
              <w:right w:val="single" w:sz="4" w:space="0" w:color="000000"/>
            </w:tcBorders>
            <w:shd w:val="clear" w:color="auto" w:fill="auto"/>
            <w:noWrap/>
            <w:vAlign w:val="center"/>
          </w:tcPr>
          <w:p w:rsidR="000C4654" w:rsidRDefault="002321B0">
            <w:pPr>
              <w:jc w:val="left"/>
              <w:textAlignment w:val="center"/>
              <w:rPr>
                <w:rFonts w:ascii="宋体" w:hAnsi="宋体" w:cs="宋体"/>
                <w:color w:val="000000"/>
                <w:sz w:val="20"/>
              </w:rPr>
            </w:pPr>
            <w:r>
              <w:rPr>
                <w:rFonts w:ascii="宋体" w:hAnsi="宋体" w:cs="宋体" w:hint="eastAsia"/>
                <w:color w:val="000000"/>
                <w:sz w:val="20"/>
              </w:rPr>
              <w:t>二、会议费</w:t>
            </w:r>
          </w:p>
        </w:tc>
        <w:tc>
          <w:tcPr>
            <w:tcW w:w="0" w:type="auto"/>
            <w:tcBorders>
              <w:top w:val="nil"/>
              <w:left w:val="nil"/>
              <w:bottom w:val="single" w:sz="4" w:space="0" w:color="000000"/>
              <w:right w:val="single" w:sz="4" w:space="0" w:color="000000"/>
            </w:tcBorders>
            <w:shd w:val="clear" w:color="auto" w:fill="auto"/>
            <w:noWrap/>
            <w:vAlign w:val="center"/>
          </w:tcPr>
          <w:p w:rsidR="000C4654" w:rsidRDefault="002321B0">
            <w:pPr>
              <w:jc w:val="right"/>
              <w:textAlignment w:val="center"/>
              <w:rPr>
                <w:rFonts w:ascii="宋体" w:hAnsi="宋体" w:cs="宋体"/>
                <w:color w:val="000000"/>
                <w:sz w:val="20"/>
              </w:rPr>
            </w:pPr>
            <w:r>
              <w:rPr>
                <w:rFonts w:ascii="宋体" w:hAnsi="宋体" w:cs="宋体" w:hint="eastAsia"/>
                <w:color w:val="000000"/>
                <w:sz w:val="20"/>
              </w:rPr>
              <w:t>58</w:t>
            </w:r>
          </w:p>
        </w:tc>
        <w:tc>
          <w:tcPr>
            <w:tcW w:w="0" w:type="auto"/>
            <w:tcBorders>
              <w:top w:val="nil"/>
              <w:left w:val="nil"/>
              <w:bottom w:val="single" w:sz="4" w:space="0" w:color="000000"/>
              <w:right w:val="single" w:sz="4" w:space="0" w:color="000000"/>
            </w:tcBorders>
            <w:shd w:val="clear" w:color="auto" w:fill="auto"/>
            <w:noWrap/>
            <w:vAlign w:val="center"/>
          </w:tcPr>
          <w:p w:rsidR="000C4654" w:rsidRDefault="002321B0">
            <w:pPr>
              <w:jc w:val="right"/>
              <w:textAlignment w:val="center"/>
              <w:rPr>
                <w:rFonts w:ascii="宋体" w:hAnsi="宋体" w:cs="宋体"/>
                <w:color w:val="000000"/>
                <w:sz w:val="20"/>
              </w:rPr>
            </w:pPr>
            <w:r>
              <w:rPr>
                <w:rFonts w:ascii="宋体" w:hAnsi="宋体" w:cs="宋体" w:hint="eastAsia"/>
                <w:color w:val="000000"/>
                <w:sz w:val="20"/>
              </w:rPr>
              <w:t>13.57</w:t>
            </w:r>
          </w:p>
        </w:tc>
      </w:tr>
      <w:tr w:rsidR="000C4654">
        <w:trPr>
          <w:trHeight w:val="270"/>
          <w:jc w:val="center"/>
        </w:trPr>
        <w:tc>
          <w:tcPr>
            <w:tcW w:w="0" w:type="auto"/>
            <w:tcBorders>
              <w:top w:val="nil"/>
              <w:left w:val="single" w:sz="12" w:space="0" w:color="000000"/>
              <w:bottom w:val="single" w:sz="4" w:space="0" w:color="000000"/>
              <w:right w:val="single" w:sz="4" w:space="0" w:color="000000"/>
            </w:tcBorders>
            <w:shd w:val="clear" w:color="auto" w:fill="auto"/>
            <w:noWrap/>
            <w:vAlign w:val="center"/>
          </w:tcPr>
          <w:p w:rsidR="000C4654" w:rsidRDefault="002321B0">
            <w:pPr>
              <w:jc w:val="left"/>
              <w:textAlignment w:val="center"/>
              <w:rPr>
                <w:rFonts w:ascii="宋体" w:hAnsi="宋体" w:cs="宋体"/>
                <w:color w:val="000000"/>
                <w:sz w:val="20"/>
              </w:rPr>
            </w:pPr>
            <w:r>
              <w:rPr>
                <w:rFonts w:ascii="宋体" w:hAnsi="宋体" w:cs="宋体" w:hint="eastAsia"/>
                <w:color w:val="000000"/>
                <w:sz w:val="20"/>
              </w:rPr>
              <w:t>三、培训费</w:t>
            </w:r>
          </w:p>
        </w:tc>
        <w:tc>
          <w:tcPr>
            <w:tcW w:w="0" w:type="auto"/>
            <w:tcBorders>
              <w:top w:val="nil"/>
              <w:left w:val="nil"/>
              <w:bottom w:val="single" w:sz="4" w:space="0" w:color="000000"/>
              <w:right w:val="single" w:sz="4" w:space="0" w:color="000000"/>
            </w:tcBorders>
            <w:shd w:val="clear" w:color="auto" w:fill="auto"/>
            <w:noWrap/>
            <w:vAlign w:val="center"/>
          </w:tcPr>
          <w:p w:rsidR="000C4654" w:rsidRDefault="002321B0">
            <w:pPr>
              <w:jc w:val="right"/>
              <w:textAlignment w:val="center"/>
              <w:rPr>
                <w:rFonts w:ascii="宋体" w:hAnsi="宋体" w:cs="宋体"/>
                <w:color w:val="000000"/>
                <w:sz w:val="20"/>
              </w:rPr>
            </w:pPr>
            <w:r>
              <w:rPr>
                <w:rFonts w:ascii="宋体" w:hAnsi="宋体" w:cs="宋体" w:hint="eastAsia"/>
                <w:color w:val="000000"/>
                <w:sz w:val="20"/>
              </w:rPr>
              <w:t>70</w:t>
            </w:r>
          </w:p>
        </w:tc>
        <w:tc>
          <w:tcPr>
            <w:tcW w:w="0" w:type="auto"/>
            <w:tcBorders>
              <w:top w:val="nil"/>
              <w:left w:val="nil"/>
              <w:bottom w:val="single" w:sz="4" w:space="0" w:color="000000"/>
              <w:right w:val="single" w:sz="4" w:space="0" w:color="000000"/>
            </w:tcBorders>
            <w:shd w:val="clear" w:color="auto" w:fill="auto"/>
            <w:noWrap/>
            <w:vAlign w:val="center"/>
          </w:tcPr>
          <w:p w:rsidR="000C4654" w:rsidRDefault="002321B0">
            <w:pPr>
              <w:jc w:val="right"/>
              <w:textAlignment w:val="center"/>
              <w:rPr>
                <w:rFonts w:ascii="宋体" w:hAnsi="宋体" w:cs="宋体"/>
                <w:color w:val="000000"/>
                <w:sz w:val="20"/>
              </w:rPr>
            </w:pPr>
            <w:r>
              <w:rPr>
                <w:rFonts w:ascii="宋体" w:hAnsi="宋体" w:cs="宋体" w:hint="eastAsia"/>
                <w:color w:val="000000"/>
                <w:sz w:val="20"/>
              </w:rPr>
              <w:t>19.52</w:t>
            </w:r>
          </w:p>
        </w:tc>
      </w:tr>
    </w:tbl>
    <w:p w:rsidR="000C4654" w:rsidRDefault="000C4654" w:rsidP="000C4654">
      <w:pPr>
        <w:pStyle w:val="a7"/>
        <w:ind w:firstLine="210"/>
      </w:pPr>
    </w:p>
    <w:p w:rsidR="000C4654" w:rsidRDefault="002321B0">
      <w:pPr>
        <w:spacing w:line="600" w:lineRule="exact"/>
        <w:ind w:firstLineChars="200" w:firstLine="640"/>
        <w:rPr>
          <w:rFonts w:ascii="仿宋_GB2312" w:eastAsia="仿宋_GB2312"/>
          <w:sz w:val="32"/>
          <w:szCs w:val="32"/>
        </w:rPr>
      </w:pPr>
      <w:r>
        <w:rPr>
          <w:rFonts w:ascii="仿宋_GB2312" w:eastAsia="仿宋_GB2312" w:hint="eastAsia"/>
          <w:sz w:val="32"/>
          <w:szCs w:val="32"/>
        </w:rPr>
        <w:t>（3）项目支出</w:t>
      </w:r>
    </w:p>
    <w:p w:rsidR="000C4654" w:rsidRDefault="002321B0">
      <w:pPr>
        <w:spacing w:line="600" w:lineRule="exact"/>
        <w:ind w:firstLineChars="200" w:firstLine="640"/>
        <w:rPr>
          <w:rFonts w:ascii="仿宋_GB2312" w:eastAsia="仿宋_GB2312"/>
          <w:sz w:val="32"/>
          <w:szCs w:val="32"/>
        </w:rPr>
      </w:pPr>
      <w:r>
        <w:rPr>
          <w:rFonts w:ascii="仿宋_GB2312" w:eastAsia="仿宋_GB2312" w:hint="eastAsia"/>
          <w:sz w:val="32"/>
          <w:szCs w:val="32"/>
        </w:rPr>
        <w:t>2024年项目支出2.29</w:t>
      </w:r>
      <w:r w:rsidR="00AA0D29">
        <w:rPr>
          <w:rFonts w:ascii="仿宋_GB2312" w:eastAsia="仿宋_GB2312" w:hint="eastAsia"/>
          <w:sz w:val="32"/>
          <w:szCs w:val="32"/>
        </w:rPr>
        <w:t>亿</w:t>
      </w:r>
      <w:r>
        <w:rPr>
          <w:rFonts w:ascii="仿宋_GB2312" w:eastAsia="仿宋_GB2312" w:hint="eastAsia"/>
          <w:sz w:val="32"/>
          <w:szCs w:val="32"/>
        </w:rPr>
        <w:t>元，</w:t>
      </w:r>
      <w:r>
        <w:rPr>
          <w:rFonts w:ascii="仿宋_GB2312" w:eastAsia="仿宋_GB2312" w:hAnsi="宋体" w:hint="eastAsia"/>
          <w:sz w:val="32"/>
          <w:szCs w:val="32"/>
        </w:rPr>
        <w:t>主要包括2024</w:t>
      </w:r>
      <w:r w:rsidR="00A862D2">
        <w:rPr>
          <w:rFonts w:ascii="仿宋_GB2312" w:eastAsia="仿宋_GB2312" w:hAnsi="宋体" w:hint="eastAsia"/>
          <w:sz w:val="32"/>
          <w:szCs w:val="32"/>
        </w:rPr>
        <w:t>年计划生育奖励补助、</w:t>
      </w:r>
      <w:r>
        <w:rPr>
          <w:rFonts w:ascii="仿宋_GB2312" w:eastAsia="仿宋_GB2312" w:hAnsi="宋体" w:hint="eastAsia"/>
          <w:sz w:val="32"/>
          <w:szCs w:val="32"/>
        </w:rPr>
        <w:t>2024年卫生科技发展专项、2024年市属公立医院补助、2024年公共卫生服务项目支出等。</w:t>
      </w:r>
    </w:p>
    <w:p w:rsidR="000C4654" w:rsidRDefault="002321B0">
      <w:pPr>
        <w:pStyle w:val="2"/>
        <w:spacing w:before="0" w:after="0" w:line="600" w:lineRule="exact"/>
        <w:ind w:firstLineChars="200" w:firstLine="640"/>
        <w:rPr>
          <w:rFonts w:ascii="楷体" w:eastAsia="楷体" w:hAnsi="楷体"/>
          <w:b w:val="0"/>
        </w:rPr>
      </w:pPr>
      <w:bookmarkStart w:id="9" w:name="_Toc24624026"/>
      <w:r>
        <w:rPr>
          <w:rFonts w:ascii="楷体" w:eastAsia="楷体" w:hAnsi="楷体" w:hint="eastAsia"/>
          <w:b w:val="0"/>
        </w:rPr>
        <w:t>（三）部门绩效目标</w:t>
      </w:r>
    </w:p>
    <w:p w:rsidR="000C4654" w:rsidRDefault="002321B0">
      <w:pPr>
        <w:spacing w:line="600" w:lineRule="exact"/>
        <w:ind w:firstLineChars="200" w:firstLine="640"/>
        <w:rPr>
          <w:rFonts w:ascii="仿宋_GB2312" w:eastAsia="仿宋_GB2312"/>
          <w:sz w:val="32"/>
          <w:szCs w:val="32"/>
        </w:rPr>
      </w:pPr>
      <w:r>
        <w:rPr>
          <w:rFonts w:ascii="仿宋_GB2312" w:eastAsia="仿宋_GB2312" w:hint="eastAsia"/>
          <w:sz w:val="32"/>
          <w:szCs w:val="32"/>
        </w:rPr>
        <w:t>1.部门中长期目标</w:t>
      </w:r>
    </w:p>
    <w:p w:rsidR="000C4654" w:rsidRDefault="002321B0">
      <w:pPr>
        <w:spacing w:line="600" w:lineRule="exact"/>
        <w:ind w:firstLineChars="200" w:firstLine="640"/>
        <w:rPr>
          <w:rFonts w:ascii="仿宋_GB2312" w:eastAsia="仿宋_GB2312"/>
          <w:sz w:val="32"/>
          <w:szCs w:val="32"/>
        </w:rPr>
      </w:pPr>
      <w:r>
        <w:rPr>
          <w:rFonts w:ascii="仿宋_GB2312" w:eastAsia="仿宋_GB2312"/>
          <w:sz w:val="32"/>
          <w:szCs w:val="32"/>
        </w:rPr>
        <w:t>健康融入所有政策的现代社会治理模式初步形成，覆盖城乡居民的基本医疗卫生制度全面建立。内涵丰富、结构合理的现代医疗、公共卫生、健康管理与促进、健康保障、健康服务产业五大体系健全完善。健康环境明显改善，健康生活方式进一步普及，人人享有较高水平的基本医疗卫生服务和基本体育健身服务，城乡居民健康水平进一步提高。到2030年，健康优先的政策体系和制度设计更加完善，健康领域整体协调发展。城市空间布局更加合理、资源利用更加集约、产业形态与自然生态更加和谐、</w:t>
      </w:r>
      <w:proofErr w:type="gramStart"/>
      <w:r>
        <w:rPr>
          <w:rFonts w:ascii="仿宋_GB2312" w:eastAsia="仿宋_GB2312"/>
          <w:sz w:val="32"/>
          <w:szCs w:val="32"/>
        </w:rPr>
        <w:t>市民宜业与</w:t>
      </w:r>
      <w:proofErr w:type="gramEnd"/>
      <w:r>
        <w:rPr>
          <w:rFonts w:ascii="仿宋_GB2312" w:eastAsia="仿宋_GB2312"/>
          <w:sz w:val="32"/>
          <w:szCs w:val="32"/>
        </w:rPr>
        <w:t>宜居环境更加协调，健康服务、健康保障、健康产业发展的社会环境更</w:t>
      </w:r>
      <w:r>
        <w:rPr>
          <w:rFonts w:ascii="仿宋_GB2312" w:eastAsia="仿宋_GB2312"/>
          <w:sz w:val="32"/>
          <w:szCs w:val="32"/>
        </w:rPr>
        <w:lastRenderedPageBreak/>
        <w:t>加优化，健康生活方式更加普及，智能化高科技对健康生活方式的支撑作用更加突显，城乡居民主要健康指标达到国际先进水平。</w:t>
      </w:r>
    </w:p>
    <w:p w:rsidR="000C4654" w:rsidRDefault="002321B0">
      <w:pPr>
        <w:spacing w:line="600" w:lineRule="exact"/>
        <w:ind w:firstLineChars="200" w:firstLine="640"/>
        <w:rPr>
          <w:rFonts w:ascii="仿宋_GB2312" w:eastAsia="仿宋_GB2312"/>
          <w:sz w:val="32"/>
          <w:szCs w:val="32"/>
        </w:rPr>
      </w:pPr>
      <w:r>
        <w:rPr>
          <w:rFonts w:ascii="仿宋_GB2312" w:eastAsia="仿宋_GB2312" w:hint="eastAsia"/>
          <w:sz w:val="32"/>
          <w:szCs w:val="32"/>
        </w:rPr>
        <w:t>2.年度目标</w:t>
      </w:r>
    </w:p>
    <w:p w:rsidR="000C4654" w:rsidRDefault="002321B0">
      <w:pPr>
        <w:spacing w:line="600" w:lineRule="exact"/>
        <w:ind w:firstLineChars="200" w:firstLine="640"/>
        <w:rPr>
          <w:rFonts w:ascii="仿宋_GB2312" w:eastAsia="仿宋_GB2312"/>
          <w:sz w:val="32"/>
          <w:szCs w:val="32"/>
        </w:rPr>
      </w:pPr>
      <w:r>
        <w:rPr>
          <w:rFonts w:ascii="仿宋_GB2312" w:eastAsia="仿宋_GB2312" w:hint="eastAsia"/>
          <w:sz w:val="32"/>
          <w:szCs w:val="32"/>
        </w:rPr>
        <w:t>市</w:t>
      </w:r>
      <w:proofErr w:type="gramStart"/>
      <w:r>
        <w:rPr>
          <w:rFonts w:ascii="仿宋_GB2312" w:eastAsia="仿宋_GB2312" w:hint="eastAsia"/>
          <w:sz w:val="32"/>
          <w:szCs w:val="32"/>
        </w:rPr>
        <w:t>卫健委2024年度</w:t>
      </w:r>
      <w:proofErr w:type="gramEnd"/>
      <w:r>
        <w:rPr>
          <w:rFonts w:ascii="仿宋_GB2312" w:eastAsia="仿宋_GB2312" w:hint="eastAsia"/>
          <w:sz w:val="32"/>
          <w:szCs w:val="32"/>
        </w:rPr>
        <w:t>绩效目标包括以下内容：</w:t>
      </w:r>
    </w:p>
    <w:p w:rsidR="000C4654" w:rsidRDefault="002321B0">
      <w:pPr>
        <w:spacing w:line="600" w:lineRule="exact"/>
        <w:ind w:firstLineChars="200" w:firstLine="640"/>
        <w:rPr>
          <w:rFonts w:ascii="仿宋_GB2312" w:eastAsia="仿宋_GB2312"/>
          <w:sz w:val="32"/>
          <w:szCs w:val="32"/>
        </w:rPr>
      </w:pPr>
      <w:r>
        <w:rPr>
          <w:rFonts w:ascii="仿宋_GB2312" w:eastAsia="仿宋_GB2312" w:hint="eastAsia"/>
          <w:sz w:val="32"/>
          <w:szCs w:val="32"/>
        </w:rPr>
        <w:t>（1）综合</w:t>
      </w:r>
      <w:proofErr w:type="gramStart"/>
      <w:r>
        <w:rPr>
          <w:rFonts w:ascii="仿宋_GB2312" w:eastAsia="仿宋_GB2312" w:hint="eastAsia"/>
          <w:sz w:val="32"/>
          <w:szCs w:val="32"/>
        </w:rPr>
        <w:t>医</w:t>
      </w:r>
      <w:proofErr w:type="gramEnd"/>
      <w:r>
        <w:rPr>
          <w:rFonts w:ascii="仿宋_GB2312" w:eastAsia="仿宋_GB2312" w:hint="eastAsia"/>
          <w:sz w:val="32"/>
          <w:szCs w:val="32"/>
        </w:rPr>
        <w:t>改工作取得新成效；</w:t>
      </w:r>
    </w:p>
    <w:p w:rsidR="000C4654" w:rsidRDefault="002321B0">
      <w:pPr>
        <w:spacing w:line="600" w:lineRule="exact"/>
        <w:ind w:firstLineChars="200" w:firstLine="640"/>
        <w:rPr>
          <w:rFonts w:ascii="仿宋_GB2312" w:eastAsia="仿宋_GB2312"/>
          <w:sz w:val="32"/>
          <w:szCs w:val="32"/>
        </w:rPr>
      </w:pPr>
      <w:r>
        <w:rPr>
          <w:rFonts w:ascii="仿宋_GB2312" w:eastAsia="仿宋_GB2312" w:hint="eastAsia"/>
          <w:sz w:val="32"/>
          <w:szCs w:val="32"/>
        </w:rPr>
        <w:t>（2）健康南京建设大力推进；</w:t>
      </w:r>
    </w:p>
    <w:p w:rsidR="000C4654" w:rsidRDefault="002321B0">
      <w:pPr>
        <w:spacing w:line="600" w:lineRule="exact"/>
        <w:ind w:firstLineChars="200" w:firstLine="640"/>
        <w:rPr>
          <w:rFonts w:ascii="仿宋_GB2312" w:eastAsia="仿宋_GB2312"/>
          <w:sz w:val="32"/>
          <w:szCs w:val="32"/>
        </w:rPr>
      </w:pPr>
      <w:r>
        <w:rPr>
          <w:rFonts w:ascii="仿宋_GB2312" w:eastAsia="仿宋_GB2312" w:hint="eastAsia"/>
          <w:sz w:val="32"/>
          <w:szCs w:val="32"/>
        </w:rPr>
        <w:t>（3）公共卫生效能不断提升；</w:t>
      </w:r>
    </w:p>
    <w:p w:rsidR="000C4654" w:rsidRDefault="002321B0">
      <w:pPr>
        <w:spacing w:line="600" w:lineRule="exact"/>
        <w:ind w:firstLineChars="200" w:firstLine="640"/>
        <w:rPr>
          <w:rFonts w:ascii="仿宋_GB2312" w:eastAsia="仿宋_GB2312"/>
          <w:sz w:val="32"/>
          <w:szCs w:val="32"/>
        </w:rPr>
      </w:pPr>
      <w:r>
        <w:rPr>
          <w:rFonts w:ascii="仿宋_GB2312" w:eastAsia="仿宋_GB2312" w:hint="eastAsia"/>
          <w:sz w:val="32"/>
          <w:szCs w:val="32"/>
        </w:rPr>
        <w:t>（4）医疗卫生服务全面改善；</w:t>
      </w:r>
    </w:p>
    <w:p w:rsidR="000C4654" w:rsidRDefault="002321B0">
      <w:pPr>
        <w:spacing w:line="600" w:lineRule="exact"/>
        <w:ind w:firstLineChars="200" w:firstLine="640"/>
        <w:rPr>
          <w:rFonts w:ascii="仿宋_GB2312" w:eastAsia="仿宋_GB2312"/>
          <w:sz w:val="32"/>
          <w:szCs w:val="32"/>
        </w:rPr>
      </w:pPr>
      <w:r>
        <w:rPr>
          <w:rFonts w:ascii="仿宋_GB2312" w:eastAsia="仿宋_GB2312" w:hint="eastAsia"/>
          <w:sz w:val="32"/>
          <w:szCs w:val="32"/>
        </w:rPr>
        <w:t>（5）重点人群保障持续提升；</w:t>
      </w:r>
    </w:p>
    <w:p w:rsidR="000C4654" w:rsidRDefault="002321B0">
      <w:pPr>
        <w:spacing w:line="600" w:lineRule="exact"/>
        <w:ind w:firstLineChars="200" w:firstLine="640"/>
        <w:rPr>
          <w:rFonts w:ascii="仿宋_GB2312" w:eastAsia="仿宋_GB2312"/>
          <w:sz w:val="32"/>
          <w:szCs w:val="32"/>
        </w:rPr>
      </w:pPr>
      <w:r>
        <w:rPr>
          <w:rFonts w:ascii="仿宋_GB2312" w:eastAsia="仿宋_GB2312" w:hint="eastAsia"/>
          <w:sz w:val="32"/>
          <w:szCs w:val="32"/>
        </w:rPr>
        <w:t>（6）科教创新和人才建设汇聚新动能；</w:t>
      </w:r>
    </w:p>
    <w:p w:rsidR="000C4654" w:rsidRDefault="002321B0">
      <w:pPr>
        <w:spacing w:line="600" w:lineRule="exact"/>
        <w:ind w:firstLineChars="200" w:firstLine="640"/>
        <w:rPr>
          <w:rFonts w:ascii="仿宋_GB2312" w:eastAsia="仿宋_GB2312"/>
          <w:sz w:val="32"/>
          <w:szCs w:val="32"/>
        </w:rPr>
      </w:pPr>
      <w:r>
        <w:rPr>
          <w:rFonts w:ascii="仿宋_GB2312" w:eastAsia="仿宋_GB2312" w:hint="eastAsia"/>
          <w:sz w:val="32"/>
          <w:szCs w:val="32"/>
        </w:rPr>
        <w:t>（7）安全稳定工作取得新进展。</w:t>
      </w:r>
    </w:p>
    <w:p w:rsidR="000C4654" w:rsidRDefault="002321B0">
      <w:pPr>
        <w:pStyle w:val="1"/>
        <w:spacing w:before="0" w:after="0" w:line="600" w:lineRule="exact"/>
        <w:ind w:firstLineChars="200" w:firstLine="640"/>
        <w:rPr>
          <w:rFonts w:ascii="黑体" w:eastAsia="黑体" w:hAnsi="黑体"/>
          <w:b w:val="0"/>
          <w:sz w:val="32"/>
          <w:szCs w:val="32"/>
        </w:rPr>
      </w:pPr>
      <w:r>
        <w:rPr>
          <w:rFonts w:ascii="黑体" w:eastAsia="黑体" w:hAnsi="黑体" w:hint="eastAsia"/>
          <w:b w:val="0"/>
          <w:sz w:val="32"/>
          <w:szCs w:val="32"/>
        </w:rPr>
        <w:t>二、绩效评价情况</w:t>
      </w:r>
      <w:bookmarkEnd w:id="9"/>
    </w:p>
    <w:p w:rsidR="000C4654" w:rsidRDefault="002321B0">
      <w:pPr>
        <w:pStyle w:val="2"/>
        <w:spacing w:before="0" w:after="0" w:line="600" w:lineRule="exact"/>
        <w:ind w:firstLineChars="200" w:firstLine="640"/>
        <w:rPr>
          <w:rFonts w:ascii="楷体" w:eastAsia="楷体" w:hAnsi="楷体"/>
          <w:b w:val="0"/>
        </w:rPr>
      </w:pPr>
      <w:bookmarkStart w:id="10" w:name="_Toc24624027"/>
      <w:r>
        <w:rPr>
          <w:rFonts w:ascii="楷体" w:eastAsia="楷体" w:hAnsi="楷体" w:hint="eastAsia"/>
          <w:b w:val="0"/>
        </w:rPr>
        <w:t>（一）评价目的</w:t>
      </w:r>
      <w:bookmarkEnd w:id="10"/>
    </w:p>
    <w:p w:rsidR="000C4654" w:rsidRDefault="002321B0">
      <w:pPr>
        <w:spacing w:line="600" w:lineRule="exact"/>
        <w:ind w:firstLineChars="200" w:firstLine="640"/>
        <w:rPr>
          <w:rFonts w:ascii="仿宋_GB2312" w:eastAsia="仿宋_GB2312"/>
          <w:sz w:val="32"/>
          <w:szCs w:val="32"/>
        </w:rPr>
      </w:pPr>
      <w:r>
        <w:rPr>
          <w:rFonts w:ascii="仿宋_GB2312" w:eastAsia="仿宋_GB2312" w:hint="eastAsia"/>
          <w:sz w:val="32"/>
          <w:szCs w:val="32"/>
        </w:rPr>
        <w:t>开展部门整体支出绩效评价是全面贯彻落实《中共江苏省委 江苏省人民政府关于全面实施预算绩效管理的实施意见》的重要举措。开展部门整体支出评价的目的是“促进部门从整体提升预算绩效管理工作水平及使用效益，保障部门更好地履行职责”，具体包括：</w:t>
      </w:r>
    </w:p>
    <w:p w:rsidR="000C4654" w:rsidRDefault="002321B0">
      <w:pPr>
        <w:spacing w:line="600" w:lineRule="exact"/>
        <w:ind w:firstLineChars="200" w:firstLine="640"/>
        <w:rPr>
          <w:rFonts w:ascii="仿宋_GB2312" w:eastAsia="仿宋_GB2312"/>
          <w:sz w:val="32"/>
          <w:szCs w:val="32"/>
        </w:rPr>
      </w:pPr>
      <w:r>
        <w:rPr>
          <w:rFonts w:ascii="仿宋_GB2312" w:eastAsia="仿宋_GB2312" w:hint="eastAsia"/>
          <w:sz w:val="32"/>
          <w:szCs w:val="32"/>
        </w:rPr>
        <w:t>1.通过对部门整体支出开展绩效评价，可以发现部门管理的薄弱环节，促进其改进和创新管理方式，提高管理效能和管理质量。同时，发现部门在提供公共服务方面存在的短</w:t>
      </w:r>
      <w:r>
        <w:rPr>
          <w:rFonts w:ascii="仿宋_GB2312" w:eastAsia="仿宋_GB2312" w:hint="eastAsia"/>
          <w:sz w:val="32"/>
          <w:szCs w:val="32"/>
        </w:rPr>
        <w:lastRenderedPageBreak/>
        <w:t>板和不足，为有效提高财政资金配置水平和提升政府公共服务质量做出积极探索。</w:t>
      </w:r>
    </w:p>
    <w:p w:rsidR="000C4654" w:rsidRDefault="002321B0">
      <w:pPr>
        <w:spacing w:line="600" w:lineRule="exact"/>
        <w:ind w:firstLineChars="200" w:firstLine="640"/>
        <w:rPr>
          <w:rFonts w:ascii="仿宋_GB2312" w:eastAsia="仿宋_GB2312"/>
          <w:sz w:val="32"/>
          <w:szCs w:val="32"/>
        </w:rPr>
      </w:pPr>
      <w:r>
        <w:rPr>
          <w:rFonts w:ascii="仿宋_GB2312" w:eastAsia="仿宋_GB2312" w:hint="eastAsia"/>
          <w:sz w:val="32"/>
          <w:szCs w:val="32"/>
        </w:rPr>
        <w:t>2.部门整体支出绩效评价更加关注部门财政资金的预算安排的合理性和整体效益，例如，资金结构与部门职能的匹配程度、预算规模对部门绩效目标实现的保障水平、资金的支出与部门所提供的公共服务的支持程度等，因此，部门整体支出绩效评价的覆盖面更广、层次更深，更能综合反映部门财政资金的综合效益。</w:t>
      </w:r>
    </w:p>
    <w:p w:rsidR="000C4654" w:rsidRDefault="002321B0">
      <w:pPr>
        <w:pStyle w:val="2"/>
        <w:spacing w:before="0" w:after="0" w:line="600" w:lineRule="exact"/>
        <w:ind w:firstLineChars="200" w:firstLine="640"/>
        <w:rPr>
          <w:rFonts w:ascii="楷体" w:eastAsia="楷体" w:hAnsi="楷体"/>
          <w:b w:val="0"/>
        </w:rPr>
      </w:pPr>
      <w:r>
        <w:rPr>
          <w:rFonts w:ascii="楷体" w:eastAsia="楷体" w:hAnsi="楷体" w:hint="eastAsia"/>
          <w:b w:val="0"/>
        </w:rPr>
        <w:t>（二）评价对象及范围</w:t>
      </w:r>
    </w:p>
    <w:p w:rsidR="000C4654" w:rsidRDefault="002321B0">
      <w:pPr>
        <w:spacing w:line="600" w:lineRule="exact"/>
        <w:ind w:firstLineChars="200" w:firstLine="640"/>
        <w:rPr>
          <w:rFonts w:ascii="仿宋_GB2312" w:eastAsia="仿宋_GB2312"/>
          <w:sz w:val="32"/>
          <w:szCs w:val="32"/>
        </w:rPr>
      </w:pPr>
      <w:r>
        <w:rPr>
          <w:rFonts w:ascii="仿宋_GB2312" w:eastAsia="仿宋_GB2312" w:hint="eastAsia"/>
          <w:sz w:val="32"/>
          <w:szCs w:val="32"/>
        </w:rPr>
        <w:t>纳入市</w:t>
      </w:r>
      <w:proofErr w:type="gramStart"/>
      <w:r>
        <w:rPr>
          <w:rFonts w:ascii="仿宋_GB2312" w:eastAsia="仿宋_GB2312" w:hint="eastAsia"/>
          <w:sz w:val="32"/>
          <w:szCs w:val="32"/>
        </w:rPr>
        <w:t>卫健委2024年度</w:t>
      </w:r>
      <w:proofErr w:type="gramEnd"/>
      <w:r>
        <w:rPr>
          <w:rFonts w:ascii="仿宋_GB2312" w:eastAsia="仿宋_GB2312" w:hint="eastAsia"/>
          <w:sz w:val="32"/>
          <w:szCs w:val="32"/>
        </w:rPr>
        <w:t>部门预算的全部收入和支出。</w:t>
      </w:r>
    </w:p>
    <w:p w:rsidR="000C4654" w:rsidRDefault="002321B0">
      <w:pPr>
        <w:pStyle w:val="2"/>
        <w:spacing w:before="0" w:after="0" w:line="600" w:lineRule="exact"/>
        <w:ind w:firstLineChars="200" w:firstLine="640"/>
        <w:rPr>
          <w:rFonts w:ascii="楷体" w:eastAsia="楷体" w:hAnsi="楷体"/>
          <w:b w:val="0"/>
        </w:rPr>
      </w:pPr>
      <w:bookmarkStart w:id="11" w:name="_Toc24624029"/>
      <w:r>
        <w:rPr>
          <w:rFonts w:ascii="楷体" w:eastAsia="楷体" w:hAnsi="楷体" w:hint="eastAsia"/>
          <w:b w:val="0"/>
        </w:rPr>
        <w:t>（三）评价思路</w:t>
      </w:r>
      <w:bookmarkEnd w:id="11"/>
    </w:p>
    <w:p w:rsidR="000C4654" w:rsidRDefault="002321B0">
      <w:pPr>
        <w:spacing w:line="600" w:lineRule="exact"/>
        <w:ind w:firstLineChars="200" w:firstLine="640"/>
        <w:rPr>
          <w:rFonts w:ascii="仿宋_GB2312" w:eastAsia="仿宋_GB2312"/>
          <w:sz w:val="32"/>
          <w:szCs w:val="32"/>
        </w:rPr>
      </w:pPr>
      <w:r>
        <w:rPr>
          <w:rFonts w:ascii="仿宋_GB2312" w:eastAsia="仿宋_GB2312" w:hint="eastAsia"/>
          <w:sz w:val="32"/>
          <w:szCs w:val="32"/>
        </w:rPr>
        <w:t>部门整体支出绩效评价不同于一般性的项目支出绩效评价，主要以财政资金管理使用为主线，以部门履职情况为核心内容，部门整体支出对应部门职能范围内的一切权、责、钱、人、事等因素的综合作用结果，紧紧围绕综合性、宏观性和政策性，以部门履职为核心要素。其中，综合性是指部门整体支出不仅体现为自身运作的支出，更体现为部门履职的支出，即从支出的构成上包括基本支出和项目支出。宏观性则是要在部门履职的基础上，强调以结果为导向、以公众满意为目的等理念，围绕绩效的内涵，满足经济性、效率性和效益性。政策性是指部门整体支出绩效评价具有政策指导意义，绩效评价的结果对于政策的调整或优化都有积极意义。</w:t>
      </w:r>
    </w:p>
    <w:p w:rsidR="000C4654" w:rsidRDefault="002321B0">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因此，部门整体支出绩效评价应围绕部门职责，以预算资金管理为主线，以部门履职情况为核心内容，统筹考虑资产和业务活动，从运行成本、管理效率、履职效能、社会效应、能力建设和服务对象满意度等方面，综合衡量部门整体及核心业务实施效果。</w:t>
      </w:r>
    </w:p>
    <w:p w:rsidR="000C4654" w:rsidRDefault="002321B0">
      <w:pPr>
        <w:pStyle w:val="2"/>
        <w:spacing w:before="0" w:after="0" w:line="600" w:lineRule="exact"/>
        <w:ind w:firstLineChars="200" w:firstLine="640"/>
        <w:rPr>
          <w:rFonts w:ascii="楷体" w:eastAsia="楷体" w:hAnsi="楷体"/>
          <w:b w:val="0"/>
        </w:rPr>
      </w:pPr>
      <w:bookmarkStart w:id="12" w:name="_Toc24624031"/>
      <w:r>
        <w:rPr>
          <w:rFonts w:ascii="楷体" w:eastAsia="楷体" w:hAnsi="楷体" w:hint="eastAsia"/>
          <w:b w:val="0"/>
        </w:rPr>
        <w:t>（四）评价方法</w:t>
      </w:r>
      <w:bookmarkEnd w:id="12"/>
    </w:p>
    <w:p w:rsidR="000C4654" w:rsidRDefault="002321B0">
      <w:pPr>
        <w:spacing w:line="600" w:lineRule="exact"/>
        <w:ind w:firstLineChars="200" w:firstLine="640"/>
        <w:rPr>
          <w:rFonts w:ascii="仿宋_GB2312" w:eastAsia="仿宋_GB2312"/>
          <w:sz w:val="32"/>
          <w:szCs w:val="32"/>
        </w:rPr>
      </w:pPr>
      <w:r>
        <w:rPr>
          <w:rFonts w:ascii="仿宋_GB2312" w:eastAsia="仿宋_GB2312" w:hint="eastAsia"/>
          <w:sz w:val="32"/>
          <w:szCs w:val="32"/>
        </w:rPr>
        <w:t>综合运用成本效益分析法、因素分析法、专家评审法等方法，具体通过文献梳理、调研访谈、制定评价指标和标准、数据采集、问卷调查等方式进行部门整体支出绩效综合评价。评价指标采取定量与定性相结合、优先定量的原则。</w:t>
      </w:r>
    </w:p>
    <w:p w:rsidR="000C4654" w:rsidRDefault="002321B0">
      <w:pPr>
        <w:pStyle w:val="2"/>
        <w:spacing w:before="0" w:after="0" w:line="600" w:lineRule="exact"/>
        <w:ind w:firstLineChars="200" w:firstLine="640"/>
        <w:rPr>
          <w:rFonts w:ascii="楷体" w:eastAsia="楷体" w:hAnsi="楷体"/>
          <w:b w:val="0"/>
        </w:rPr>
      </w:pPr>
      <w:bookmarkStart w:id="13" w:name="_Toc24624032"/>
      <w:r>
        <w:rPr>
          <w:rFonts w:ascii="楷体" w:eastAsia="楷体" w:hAnsi="楷体" w:hint="eastAsia"/>
          <w:b w:val="0"/>
        </w:rPr>
        <w:t>（五）绩效评价结论</w:t>
      </w:r>
      <w:bookmarkEnd w:id="13"/>
    </w:p>
    <w:p w:rsidR="000C4654" w:rsidRDefault="002321B0">
      <w:pPr>
        <w:spacing w:line="600" w:lineRule="exact"/>
        <w:ind w:firstLineChars="200" w:firstLine="640"/>
        <w:rPr>
          <w:rFonts w:ascii="仿宋_GB2312" w:eastAsia="仿宋_GB2312"/>
          <w:sz w:val="32"/>
          <w:szCs w:val="32"/>
        </w:rPr>
      </w:pPr>
      <w:r>
        <w:rPr>
          <w:rFonts w:ascii="仿宋_GB2312" w:eastAsia="仿宋_GB2312" w:hint="eastAsia"/>
          <w:sz w:val="32"/>
          <w:szCs w:val="32"/>
        </w:rPr>
        <w:t>以指标体系为基础，经过确认评价基础数据，按照制定的评价标准与评分规则，项目组以100分为评价标杆分值，从部门决策、部门管理、部门履职、履职绩效、可持续发展能力等五个方面进行综合评价和量化打分，经评价，市</w:t>
      </w:r>
      <w:proofErr w:type="gramStart"/>
      <w:r>
        <w:rPr>
          <w:rFonts w:ascii="仿宋_GB2312" w:eastAsia="仿宋_GB2312" w:hint="eastAsia"/>
          <w:sz w:val="32"/>
          <w:szCs w:val="32"/>
        </w:rPr>
        <w:t>卫健委2024年度</w:t>
      </w:r>
      <w:proofErr w:type="gramEnd"/>
      <w:r>
        <w:rPr>
          <w:rFonts w:ascii="仿宋_GB2312" w:eastAsia="仿宋_GB2312" w:hint="eastAsia"/>
          <w:sz w:val="32"/>
          <w:szCs w:val="32"/>
        </w:rPr>
        <w:t>部门整体支出绩效评分结果为</w:t>
      </w:r>
      <w:r>
        <w:rPr>
          <w:rFonts w:ascii="仿宋_GB2312" w:eastAsia="仿宋_GB2312" w:hint="eastAsia"/>
          <w:b/>
          <w:sz w:val="32"/>
          <w:szCs w:val="32"/>
        </w:rPr>
        <w:t>99.18</w:t>
      </w:r>
      <w:r>
        <w:rPr>
          <w:rFonts w:ascii="仿宋_GB2312" w:eastAsia="仿宋_GB2312" w:hint="eastAsia"/>
          <w:sz w:val="32"/>
          <w:szCs w:val="32"/>
        </w:rPr>
        <w:t>分（详见附件《南京市卫生健康委员会2024年度部门整体支出绩效综合评价表》），等级“</w:t>
      </w:r>
      <w:r>
        <w:rPr>
          <w:rFonts w:ascii="仿宋_GB2312" w:eastAsia="仿宋_GB2312" w:hint="eastAsia"/>
          <w:b/>
          <w:sz w:val="32"/>
          <w:szCs w:val="32"/>
        </w:rPr>
        <w:t>优</w:t>
      </w:r>
      <w:r>
        <w:rPr>
          <w:rFonts w:ascii="仿宋_GB2312" w:eastAsia="仿宋_GB2312" w:hint="eastAsia"/>
          <w:sz w:val="32"/>
          <w:szCs w:val="32"/>
        </w:rPr>
        <w:t>”。</w:t>
      </w:r>
      <w:bookmarkStart w:id="14" w:name="_Toc24624033"/>
    </w:p>
    <w:p w:rsidR="000C4654" w:rsidRDefault="002321B0">
      <w:pPr>
        <w:numPr>
          <w:ilvl w:val="0"/>
          <w:numId w:val="1"/>
        </w:numPr>
        <w:spacing w:line="600" w:lineRule="exact"/>
        <w:ind w:firstLineChars="200" w:firstLine="640"/>
        <w:rPr>
          <w:rFonts w:ascii="黑体" w:eastAsia="黑体" w:hAnsi="黑体"/>
          <w:sz w:val="32"/>
          <w:szCs w:val="32"/>
        </w:rPr>
      </w:pPr>
      <w:r>
        <w:rPr>
          <w:rFonts w:ascii="黑体" w:eastAsia="黑体" w:hAnsi="黑体" w:hint="eastAsia"/>
          <w:sz w:val="32"/>
          <w:szCs w:val="32"/>
        </w:rPr>
        <w:t>部门整体支出的主要成效</w:t>
      </w:r>
      <w:bookmarkStart w:id="15" w:name="_Toc24624037"/>
      <w:bookmarkEnd w:id="14"/>
    </w:p>
    <w:p w:rsidR="000C4654" w:rsidRDefault="002321B0">
      <w:pPr>
        <w:numPr>
          <w:ilvl w:val="0"/>
          <w:numId w:val="2"/>
        </w:numPr>
        <w:spacing w:line="600" w:lineRule="exact"/>
        <w:ind w:firstLineChars="200" w:firstLine="640"/>
        <w:rPr>
          <w:rFonts w:ascii="仿宋_GB2312" w:eastAsia="仿宋_GB2312"/>
          <w:sz w:val="32"/>
          <w:szCs w:val="32"/>
        </w:rPr>
      </w:pPr>
      <w:r>
        <w:rPr>
          <w:rFonts w:ascii="仿宋_GB2312" w:eastAsia="仿宋_GB2312" w:hint="eastAsia"/>
          <w:sz w:val="32"/>
          <w:szCs w:val="32"/>
        </w:rPr>
        <w:t>综合</w:t>
      </w:r>
      <w:proofErr w:type="gramStart"/>
      <w:r>
        <w:rPr>
          <w:rFonts w:ascii="仿宋_GB2312" w:eastAsia="仿宋_GB2312" w:hint="eastAsia"/>
          <w:sz w:val="32"/>
          <w:szCs w:val="32"/>
        </w:rPr>
        <w:t>医</w:t>
      </w:r>
      <w:proofErr w:type="gramEnd"/>
      <w:r>
        <w:rPr>
          <w:rFonts w:ascii="仿宋_GB2312" w:eastAsia="仿宋_GB2312" w:hint="eastAsia"/>
          <w:sz w:val="32"/>
          <w:szCs w:val="32"/>
        </w:rPr>
        <w:t>改工作取得新成效。一是持续深化公立医院改革。市委市政府办公厅印发《南京市关于进一步深化改革推动公立医院高质量发展的若干举措》，形成6个方面36条政策清单，国家</w:t>
      </w:r>
      <w:proofErr w:type="gramStart"/>
      <w:r>
        <w:rPr>
          <w:rFonts w:ascii="仿宋_GB2312" w:eastAsia="仿宋_GB2312" w:hint="eastAsia"/>
          <w:sz w:val="32"/>
          <w:szCs w:val="32"/>
        </w:rPr>
        <w:t>卫健委《卫生健康工作交流》</w:t>
      </w:r>
      <w:proofErr w:type="gramEnd"/>
      <w:r>
        <w:rPr>
          <w:rFonts w:ascii="仿宋_GB2312" w:eastAsia="仿宋_GB2312" w:hint="eastAsia"/>
          <w:sz w:val="32"/>
          <w:szCs w:val="32"/>
        </w:rPr>
        <w:t>专题刊发，</w:t>
      </w:r>
      <w:r>
        <w:rPr>
          <w:rFonts w:ascii="仿宋_GB2312" w:eastAsia="仿宋_GB2312" w:hint="eastAsia"/>
          <w:sz w:val="32"/>
          <w:szCs w:val="32"/>
        </w:rPr>
        <w:lastRenderedPageBreak/>
        <w:t>并在新闻发布会介绍了我市相关做法。二是加快分级诊疗制度建设。联合市委编办等9部门在省内率先出台整合型医疗卫生服务体系建设方案，牵头医院累计下派专家3.5万人次，帮扶建成联合病房77个。评选首批10名金牌家庭医生团队长，推荐5篇作品入选国家</w:t>
      </w:r>
      <w:proofErr w:type="gramStart"/>
      <w:r>
        <w:rPr>
          <w:rFonts w:ascii="仿宋_GB2312" w:eastAsia="仿宋_GB2312" w:hint="eastAsia"/>
          <w:sz w:val="32"/>
          <w:szCs w:val="32"/>
        </w:rPr>
        <w:t>卫健委2024年度</w:t>
      </w:r>
      <w:proofErr w:type="gramEnd"/>
      <w:r>
        <w:rPr>
          <w:rFonts w:ascii="仿宋_GB2312" w:eastAsia="仿宋_GB2312" w:hint="eastAsia"/>
          <w:sz w:val="32"/>
          <w:szCs w:val="32"/>
        </w:rPr>
        <w:t>家庭医生故事选集。三是健全完善药品供应保障体系。落实国家基本药物制度，基层医疗机构和二三级公立医疗机构基本药物配备品种和金额占比基本达标。推进药事质量控制，完成4期精麻药</w:t>
      </w:r>
      <w:proofErr w:type="gramStart"/>
      <w:r>
        <w:rPr>
          <w:rFonts w:ascii="仿宋_GB2312" w:eastAsia="仿宋_GB2312" w:hint="eastAsia"/>
          <w:sz w:val="32"/>
          <w:szCs w:val="32"/>
        </w:rPr>
        <w:t>品合理</w:t>
      </w:r>
      <w:proofErr w:type="gramEnd"/>
      <w:r>
        <w:rPr>
          <w:rFonts w:ascii="仿宋_GB2312" w:eastAsia="仿宋_GB2312" w:hint="eastAsia"/>
          <w:sz w:val="32"/>
          <w:szCs w:val="32"/>
        </w:rPr>
        <w:t>使用培训。四是有序推进卫生监督体系建设。完成“双随机</w:t>
      </w:r>
      <w:r w:rsidR="00C7101C">
        <w:rPr>
          <w:rFonts w:ascii="仿宋_GB2312" w:eastAsia="仿宋_GB2312" w:hint="eastAsia"/>
          <w:sz w:val="32"/>
          <w:szCs w:val="32"/>
        </w:rPr>
        <w:t>、</w:t>
      </w:r>
      <w:proofErr w:type="gramStart"/>
      <w:r>
        <w:rPr>
          <w:rFonts w:ascii="仿宋_GB2312" w:eastAsia="仿宋_GB2312" w:hint="eastAsia"/>
          <w:sz w:val="32"/>
          <w:szCs w:val="32"/>
        </w:rPr>
        <w:t>一</w:t>
      </w:r>
      <w:proofErr w:type="gramEnd"/>
      <w:r>
        <w:rPr>
          <w:rFonts w:ascii="仿宋_GB2312" w:eastAsia="仿宋_GB2312" w:hint="eastAsia"/>
          <w:sz w:val="32"/>
          <w:szCs w:val="32"/>
        </w:rPr>
        <w:t>公开”抽检任务2061户，持续开展打击无证行医及非法人类辅助生殖专项行动，在栖霞等区试点开展职业卫生分类监督执法，完成中医监督和</w:t>
      </w:r>
      <w:proofErr w:type="gramStart"/>
      <w:r>
        <w:rPr>
          <w:rFonts w:ascii="仿宋_GB2312" w:eastAsia="仿宋_GB2312" w:hint="eastAsia"/>
          <w:sz w:val="32"/>
          <w:szCs w:val="32"/>
        </w:rPr>
        <w:t>医美</w:t>
      </w:r>
      <w:proofErr w:type="gramEnd"/>
      <w:r>
        <w:rPr>
          <w:rFonts w:ascii="仿宋_GB2312" w:eastAsia="仿宋_GB2312" w:hint="eastAsia"/>
          <w:sz w:val="32"/>
          <w:szCs w:val="32"/>
        </w:rPr>
        <w:t>整形实训基地建设。五是不断提升智慧医疗水平。二级以上医院和政府办社区卫生服务中心医学影像检查结果实现互认，三级公立医院临床检验结果可跨机构共享调阅。</w:t>
      </w:r>
    </w:p>
    <w:p w:rsidR="000C4654" w:rsidRDefault="002321B0">
      <w:pPr>
        <w:numPr>
          <w:ilvl w:val="0"/>
          <w:numId w:val="2"/>
        </w:numPr>
        <w:spacing w:line="600" w:lineRule="exact"/>
        <w:ind w:firstLineChars="200" w:firstLine="640"/>
        <w:rPr>
          <w:rFonts w:ascii="仿宋_GB2312" w:eastAsia="仿宋_GB2312"/>
          <w:sz w:val="32"/>
          <w:szCs w:val="32"/>
        </w:rPr>
      </w:pPr>
      <w:r>
        <w:rPr>
          <w:rFonts w:ascii="仿宋_GB2312" w:eastAsia="仿宋_GB2312" w:hint="eastAsia"/>
          <w:sz w:val="32"/>
          <w:szCs w:val="32"/>
        </w:rPr>
        <w:t>健康南京建设大力推进。一是持续开展健康促进工作。启动健康城市建设推动健康中国行动宫颈癌、乳腺癌综合防治创新模式试点工作，秦淮区、栖霞</w:t>
      </w:r>
      <w:proofErr w:type="gramStart"/>
      <w:r>
        <w:rPr>
          <w:rFonts w:ascii="仿宋_GB2312" w:eastAsia="仿宋_GB2312" w:hint="eastAsia"/>
          <w:sz w:val="32"/>
          <w:szCs w:val="32"/>
        </w:rPr>
        <w:t>区顺利</w:t>
      </w:r>
      <w:proofErr w:type="gramEnd"/>
      <w:r>
        <w:rPr>
          <w:rFonts w:ascii="仿宋_GB2312" w:eastAsia="仿宋_GB2312" w:hint="eastAsia"/>
          <w:sz w:val="32"/>
          <w:szCs w:val="32"/>
        </w:rPr>
        <w:t>通过省级</w:t>
      </w:r>
      <w:proofErr w:type="gramStart"/>
      <w:r>
        <w:rPr>
          <w:rFonts w:ascii="仿宋_GB2312" w:eastAsia="仿宋_GB2312" w:hint="eastAsia"/>
          <w:sz w:val="32"/>
          <w:szCs w:val="32"/>
        </w:rPr>
        <w:t>健康区</w:t>
      </w:r>
      <w:proofErr w:type="gramEnd"/>
      <w:r>
        <w:rPr>
          <w:rFonts w:ascii="仿宋_GB2312" w:eastAsia="仿宋_GB2312" w:hint="eastAsia"/>
          <w:sz w:val="32"/>
          <w:szCs w:val="32"/>
        </w:rPr>
        <w:t>评估。全年建设各类</w:t>
      </w:r>
      <w:proofErr w:type="gramStart"/>
      <w:r>
        <w:rPr>
          <w:rFonts w:ascii="仿宋_GB2312" w:eastAsia="仿宋_GB2312" w:hint="eastAsia"/>
          <w:sz w:val="32"/>
          <w:szCs w:val="32"/>
        </w:rPr>
        <w:t>健康单位</w:t>
      </w:r>
      <w:proofErr w:type="gramEnd"/>
      <w:r>
        <w:rPr>
          <w:rFonts w:ascii="仿宋_GB2312" w:eastAsia="仿宋_GB2312" w:hint="eastAsia"/>
          <w:sz w:val="32"/>
          <w:szCs w:val="32"/>
        </w:rPr>
        <w:t>109个，全市居民健康素养水平达41%以上。二是广泛开展爱国卫生运动。开展第36个爱国卫生月宣传活动，组织“弘扬爱卫传统 共建健康南京”系列活动80余场，清理卫生死角6.1万处，发放宣传品15.6</w:t>
      </w:r>
      <w:r>
        <w:rPr>
          <w:rFonts w:ascii="仿宋_GB2312" w:eastAsia="仿宋_GB2312" w:hint="eastAsia"/>
          <w:sz w:val="32"/>
          <w:szCs w:val="32"/>
        </w:rPr>
        <w:lastRenderedPageBreak/>
        <w:t>万份。三是大力推动城市控烟。组织第37个世界无烟日宣传活动，推动《南京市烟草烟雾危害控制条例》立法调研。</w:t>
      </w:r>
    </w:p>
    <w:p w:rsidR="000C4654" w:rsidRDefault="002321B0">
      <w:pPr>
        <w:numPr>
          <w:ilvl w:val="0"/>
          <w:numId w:val="2"/>
        </w:numPr>
        <w:spacing w:line="600" w:lineRule="exact"/>
        <w:ind w:firstLineChars="200" w:firstLine="640"/>
        <w:rPr>
          <w:rFonts w:ascii="仿宋_GB2312" w:eastAsia="仿宋_GB2312"/>
          <w:sz w:val="32"/>
          <w:szCs w:val="32"/>
        </w:rPr>
      </w:pPr>
      <w:r>
        <w:rPr>
          <w:rFonts w:ascii="仿宋_GB2312" w:eastAsia="仿宋_GB2312" w:hint="eastAsia"/>
          <w:sz w:val="32"/>
          <w:szCs w:val="32"/>
        </w:rPr>
        <w:t>公共卫生效能不断提升。一是有序</w:t>
      </w:r>
      <w:proofErr w:type="gramStart"/>
      <w:r>
        <w:rPr>
          <w:rFonts w:ascii="仿宋_GB2312" w:eastAsia="仿宋_GB2312" w:hint="eastAsia"/>
          <w:sz w:val="32"/>
          <w:szCs w:val="32"/>
        </w:rPr>
        <w:t>推进疾控体系</w:t>
      </w:r>
      <w:proofErr w:type="gramEnd"/>
      <w:r>
        <w:rPr>
          <w:rFonts w:ascii="仿宋_GB2312" w:eastAsia="仿宋_GB2312" w:hint="eastAsia"/>
          <w:sz w:val="32"/>
          <w:szCs w:val="32"/>
        </w:rPr>
        <w:t>建设。推动市、区首批首席公共卫生专家选聘，选取鼓楼医院、市第二医院与</w:t>
      </w:r>
      <w:proofErr w:type="gramStart"/>
      <w:r>
        <w:rPr>
          <w:rFonts w:ascii="仿宋_GB2312" w:eastAsia="仿宋_GB2312" w:hint="eastAsia"/>
          <w:sz w:val="32"/>
          <w:szCs w:val="32"/>
        </w:rPr>
        <w:t>市疾控中心</w:t>
      </w:r>
      <w:proofErr w:type="gramEnd"/>
      <w:r>
        <w:rPr>
          <w:rFonts w:ascii="仿宋_GB2312" w:eastAsia="仿宋_GB2312" w:hint="eastAsia"/>
          <w:sz w:val="32"/>
          <w:szCs w:val="32"/>
        </w:rPr>
        <w:t>共同开展</w:t>
      </w:r>
      <w:proofErr w:type="gramStart"/>
      <w:r>
        <w:rPr>
          <w:rFonts w:ascii="仿宋_GB2312" w:eastAsia="仿宋_GB2312" w:hint="eastAsia"/>
          <w:sz w:val="32"/>
          <w:szCs w:val="32"/>
        </w:rPr>
        <w:t>医</w:t>
      </w:r>
      <w:proofErr w:type="gramEnd"/>
      <w:r>
        <w:rPr>
          <w:rFonts w:ascii="仿宋_GB2312" w:eastAsia="仿宋_GB2312" w:hint="eastAsia"/>
          <w:sz w:val="32"/>
          <w:szCs w:val="32"/>
        </w:rPr>
        <w:t>防融合试点。完成市</w:t>
      </w:r>
      <w:proofErr w:type="gramStart"/>
      <w:r>
        <w:rPr>
          <w:rFonts w:ascii="仿宋_GB2312" w:eastAsia="仿宋_GB2312" w:hint="eastAsia"/>
          <w:sz w:val="32"/>
          <w:szCs w:val="32"/>
        </w:rPr>
        <w:t>疾控中心昆仑路院</w:t>
      </w:r>
      <w:proofErr w:type="gramEnd"/>
      <w:r>
        <w:rPr>
          <w:rFonts w:ascii="仿宋_GB2312" w:eastAsia="仿宋_GB2312" w:hint="eastAsia"/>
          <w:sz w:val="32"/>
          <w:szCs w:val="32"/>
        </w:rPr>
        <w:t>区搬迁和应急实训科普综合楼项目建</w:t>
      </w:r>
      <w:r w:rsidR="00955530">
        <w:rPr>
          <w:rFonts w:ascii="仿宋_GB2312" w:eastAsia="仿宋_GB2312" w:hint="eastAsia"/>
          <w:sz w:val="32"/>
          <w:szCs w:val="32"/>
        </w:rPr>
        <w:t>设。二是有效加强传染病防控。开展流感、百日咳等重点传染病监测防治</w:t>
      </w:r>
      <w:r>
        <w:rPr>
          <w:rFonts w:ascii="仿宋_GB2312" w:eastAsia="仿宋_GB2312" w:hint="eastAsia"/>
          <w:sz w:val="32"/>
          <w:szCs w:val="32"/>
        </w:rPr>
        <w:t>，报告乙类传染病同比减少32.01%。妥善处置登革热本地疫情，未发生大范围传播扩散。完成市民生实事任务健康证体检人群HIV筛查50.5万人次，完成率114.7%。实施查螺2.25亿㎡、药物灭螺3831万㎡，完成率均超过100%。三是有序推进慢性病防治。秦淮区通过国家级慢性病防控示范区省级复核，鼓楼区完成慢性病危险性因素调查1.2万人，在玄武、栖霞区开展肿瘤综合筛查项目。四是扎实开展精神卫生工作。鼓楼、雨花台、浦口区完成社会心理服务建设试点评估，启动全市</w:t>
      </w:r>
      <w:proofErr w:type="gramStart"/>
      <w:r>
        <w:rPr>
          <w:rFonts w:ascii="仿宋_GB2312" w:eastAsia="仿宋_GB2312" w:hint="eastAsia"/>
          <w:sz w:val="32"/>
          <w:szCs w:val="32"/>
        </w:rPr>
        <w:t>域建设</w:t>
      </w:r>
      <w:proofErr w:type="gramEnd"/>
      <w:r>
        <w:rPr>
          <w:rFonts w:ascii="仿宋_GB2312" w:eastAsia="仿宋_GB2312" w:hint="eastAsia"/>
          <w:sz w:val="32"/>
          <w:szCs w:val="32"/>
        </w:rPr>
        <w:t>试点，加强严重精神障碍患者登记报告和随访管理，登记报告率3.70‰。五是规范实施免疫规划。接种各类疫苗235万剂次，上线预防接种APP，方便群众预约查询。六是持续开展卫生应急工作。累计处置突发公共卫生事件12起、特殊事件紧急医学救援652起，圆满完成国家公祭日、南京马拉松等48项重大会议活动医疗保障。七是不断推进职业健康工作。持续开展职业病危害专项治理，举办职业病防治法宣传周活动。</w:t>
      </w:r>
    </w:p>
    <w:p w:rsidR="000C4654" w:rsidRDefault="002321B0">
      <w:pPr>
        <w:numPr>
          <w:ilvl w:val="0"/>
          <w:numId w:val="2"/>
        </w:num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医疗卫生服务全面改善。一是提升医疗服务能力。推进省高水平医院建设，5家医院创成首批8个省级区域医疗中心，获评省级临床重点专科建设项目15个，确认第十三周期市级重点专科121个，完成新建3个急救站点建设省民生实事任务。二是提升医疗服务水平。实施普通门诊“一次挂号管三天”惠民实事，累计免费回诊18.36万人次，节省</w:t>
      </w:r>
      <w:proofErr w:type="gramStart"/>
      <w:r>
        <w:rPr>
          <w:rFonts w:ascii="仿宋_GB2312" w:eastAsia="仿宋_GB2312" w:hint="eastAsia"/>
          <w:sz w:val="32"/>
          <w:szCs w:val="32"/>
        </w:rPr>
        <w:t>医</w:t>
      </w:r>
      <w:proofErr w:type="gramEnd"/>
      <w:r>
        <w:rPr>
          <w:rFonts w:ascii="仿宋_GB2312" w:eastAsia="仿宋_GB2312" w:hint="eastAsia"/>
          <w:sz w:val="32"/>
          <w:szCs w:val="32"/>
        </w:rPr>
        <w:t>保费用144万元。实施80岁以上老人门诊就医“零等待”项目，累计服务1.54万人次。三是强化医疗服务质量。开展手术质量安全提升、病历内涵质量提升、患者安全等专项行动，加强互联网医疗服务监管，组织各类质</w:t>
      </w:r>
      <w:proofErr w:type="gramStart"/>
      <w:r>
        <w:rPr>
          <w:rFonts w:ascii="仿宋_GB2312" w:eastAsia="仿宋_GB2312" w:hint="eastAsia"/>
          <w:sz w:val="32"/>
          <w:szCs w:val="32"/>
        </w:rPr>
        <w:t>控检查</w:t>
      </w:r>
      <w:proofErr w:type="gramEnd"/>
      <w:r>
        <w:rPr>
          <w:rFonts w:ascii="仿宋_GB2312" w:eastAsia="仿宋_GB2312" w:hint="eastAsia"/>
          <w:sz w:val="32"/>
          <w:szCs w:val="32"/>
        </w:rPr>
        <w:t>1030家次。四是促进优质医疗资源扩容。落实市政府与中国医学科学院北京协和医学院、迈瑞医疗签订的战略合作协议，推动省康复医院、省肿瘤医院江北院区等项目。五是构建基层优先发展机制。召开慢病管理等4场工作现场推进会，新增国家“优质服务基层行”推荐标准11家、省社区医院8家、省基层</w:t>
      </w:r>
      <w:proofErr w:type="gramStart"/>
      <w:r>
        <w:rPr>
          <w:rFonts w:ascii="仿宋_GB2312" w:eastAsia="仿宋_GB2312" w:hint="eastAsia"/>
          <w:sz w:val="32"/>
          <w:szCs w:val="32"/>
        </w:rPr>
        <w:t>慢病筛防中心</w:t>
      </w:r>
      <w:proofErr w:type="gramEnd"/>
      <w:r>
        <w:rPr>
          <w:rFonts w:ascii="仿宋_GB2312" w:eastAsia="仿宋_GB2312" w:hint="eastAsia"/>
          <w:sz w:val="32"/>
          <w:szCs w:val="32"/>
        </w:rPr>
        <w:t>6个。推荐省级基层卫生骨干人才310人，实施基层儿科医生能力提升工程，首批培训43人。六是创新发展中医药工作。扎实推进示范试点项目建设，通过国家中期评估。新增全国中医特色优势专科8个、中西医协同旗舰科室6个，成立金陵</w:t>
      </w:r>
      <w:proofErr w:type="gramStart"/>
      <w:r>
        <w:rPr>
          <w:rFonts w:ascii="仿宋_GB2312" w:eastAsia="仿宋_GB2312" w:hint="eastAsia"/>
          <w:sz w:val="32"/>
          <w:szCs w:val="32"/>
        </w:rPr>
        <w:t>医</w:t>
      </w:r>
      <w:proofErr w:type="gramEnd"/>
      <w:r>
        <w:rPr>
          <w:rFonts w:ascii="仿宋_GB2312" w:eastAsia="仿宋_GB2312" w:hint="eastAsia"/>
          <w:sz w:val="32"/>
          <w:szCs w:val="32"/>
        </w:rPr>
        <w:t>派研究院，完成建设10家五级中医馆民生实事任务。柔性引进岐黄学者5名、全国名中医1名，</w:t>
      </w:r>
      <w:proofErr w:type="gramStart"/>
      <w:r>
        <w:rPr>
          <w:rFonts w:ascii="仿宋_GB2312" w:eastAsia="仿宋_GB2312" w:hint="eastAsia"/>
          <w:sz w:val="32"/>
          <w:szCs w:val="32"/>
        </w:rPr>
        <w:t>新增省</w:t>
      </w:r>
      <w:proofErr w:type="gramEnd"/>
      <w:r>
        <w:rPr>
          <w:rFonts w:ascii="仿宋_GB2312" w:eastAsia="仿宋_GB2312" w:hint="eastAsia"/>
          <w:sz w:val="32"/>
          <w:szCs w:val="32"/>
        </w:rPr>
        <w:t>中医药领军人才2名、省级老药工工作室2个。</w:t>
      </w:r>
    </w:p>
    <w:p w:rsidR="000C4654" w:rsidRDefault="002321B0">
      <w:pPr>
        <w:numPr>
          <w:ilvl w:val="0"/>
          <w:numId w:val="2"/>
        </w:num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重点人群保障持续提升。一是加大妇女儿童健康保障力度。市妇幼保健院丁家</w:t>
      </w:r>
      <w:proofErr w:type="gramStart"/>
      <w:r>
        <w:rPr>
          <w:rFonts w:ascii="仿宋_GB2312" w:eastAsia="仿宋_GB2312" w:hint="eastAsia"/>
          <w:sz w:val="32"/>
          <w:szCs w:val="32"/>
        </w:rPr>
        <w:t>庄院区</w:t>
      </w:r>
      <w:proofErr w:type="gramEnd"/>
      <w:r>
        <w:rPr>
          <w:rFonts w:ascii="仿宋_GB2312" w:eastAsia="仿宋_GB2312" w:hint="eastAsia"/>
          <w:sz w:val="32"/>
          <w:szCs w:val="32"/>
        </w:rPr>
        <w:t>9月1日正式启用，新建普</w:t>
      </w:r>
      <w:proofErr w:type="gramStart"/>
      <w:r>
        <w:rPr>
          <w:rFonts w:ascii="仿宋_GB2312" w:eastAsia="仿宋_GB2312" w:hint="eastAsia"/>
          <w:sz w:val="32"/>
          <w:szCs w:val="32"/>
        </w:rPr>
        <w:t>惠托育机构</w:t>
      </w:r>
      <w:proofErr w:type="gramEnd"/>
      <w:r>
        <w:rPr>
          <w:rFonts w:ascii="仿宋_GB2312" w:eastAsia="仿宋_GB2312" w:hint="eastAsia"/>
          <w:sz w:val="32"/>
          <w:szCs w:val="32"/>
        </w:rPr>
        <w:t>26家，完成初</w:t>
      </w:r>
      <w:proofErr w:type="gramStart"/>
      <w:r>
        <w:rPr>
          <w:rFonts w:ascii="仿宋_GB2312" w:eastAsia="仿宋_GB2312" w:hint="eastAsia"/>
          <w:sz w:val="32"/>
          <w:szCs w:val="32"/>
        </w:rPr>
        <w:t>一</w:t>
      </w:r>
      <w:proofErr w:type="gramEnd"/>
      <w:r>
        <w:rPr>
          <w:rFonts w:ascii="仿宋_GB2312" w:eastAsia="仿宋_GB2312" w:hint="eastAsia"/>
          <w:sz w:val="32"/>
          <w:szCs w:val="32"/>
        </w:rPr>
        <w:t>女生HPV疫苗接种2.2万人、妇女“两癌”筛查38万人次，均超额完成民生实事任务。二是提升老龄健康服务能力。21家二级以上综合性公立医院开设老年医学科，完成优化提升3家</w:t>
      </w:r>
      <w:proofErr w:type="gramStart"/>
      <w:r>
        <w:rPr>
          <w:rFonts w:ascii="仿宋_GB2312" w:eastAsia="仿宋_GB2312" w:hint="eastAsia"/>
          <w:sz w:val="32"/>
          <w:szCs w:val="32"/>
        </w:rPr>
        <w:t>护理院省民生</w:t>
      </w:r>
      <w:proofErr w:type="gramEnd"/>
      <w:r>
        <w:rPr>
          <w:rFonts w:ascii="仿宋_GB2312" w:eastAsia="仿宋_GB2312" w:hint="eastAsia"/>
          <w:sz w:val="32"/>
          <w:szCs w:val="32"/>
        </w:rPr>
        <w:t>实事任务，全市</w:t>
      </w:r>
      <w:proofErr w:type="gramStart"/>
      <w:r>
        <w:rPr>
          <w:rFonts w:ascii="仿宋_GB2312" w:eastAsia="仿宋_GB2312" w:hint="eastAsia"/>
          <w:sz w:val="32"/>
          <w:szCs w:val="32"/>
        </w:rPr>
        <w:t>医</w:t>
      </w:r>
      <w:proofErr w:type="gramEnd"/>
      <w:r>
        <w:rPr>
          <w:rFonts w:ascii="仿宋_GB2312" w:eastAsia="仿宋_GB2312" w:hint="eastAsia"/>
          <w:sz w:val="32"/>
          <w:szCs w:val="32"/>
        </w:rPr>
        <w:t>养结合床位数达3.5万张，实施肿瘤患者中医药特色</w:t>
      </w:r>
      <w:proofErr w:type="gramStart"/>
      <w:r>
        <w:rPr>
          <w:rFonts w:ascii="仿宋_GB2312" w:eastAsia="仿宋_GB2312" w:hint="eastAsia"/>
          <w:sz w:val="32"/>
          <w:szCs w:val="32"/>
        </w:rPr>
        <w:t>安宁疗护项目</w:t>
      </w:r>
      <w:proofErr w:type="gramEnd"/>
      <w:r>
        <w:rPr>
          <w:rFonts w:ascii="仿宋_GB2312" w:eastAsia="仿宋_GB2312" w:hint="eastAsia"/>
          <w:sz w:val="32"/>
          <w:szCs w:val="32"/>
        </w:rPr>
        <w:t>。三是提高人口家庭发展水平。落实生育养育支持政策，推动生育友好型社会建设。全面兑现计划生育家庭扶助政策，发放各类计划生育奖励扶助资金2.9亿元，惠及18.5万人。</w:t>
      </w:r>
    </w:p>
    <w:p w:rsidR="000C4654" w:rsidRDefault="002321B0">
      <w:pPr>
        <w:numPr>
          <w:ilvl w:val="0"/>
          <w:numId w:val="2"/>
        </w:numPr>
        <w:spacing w:line="600" w:lineRule="exact"/>
        <w:ind w:firstLineChars="200" w:firstLine="640"/>
        <w:rPr>
          <w:rFonts w:ascii="仿宋_GB2312" w:eastAsia="仿宋_GB2312"/>
          <w:sz w:val="32"/>
          <w:szCs w:val="32"/>
        </w:rPr>
      </w:pPr>
      <w:r>
        <w:rPr>
          <w:rFonts w:ascii="仿宋_GB2312" w:eastAsia="仿宋_GB2312" w:hint="eastAsia"/>
          <w:sz w:val="32"/>
          <w:szCs w:val="32"/>
        </w:rPr>
        <w:t>科教创新和人才建设汇聚新动能。一是推进卫生健康科技创新。全系统</w:t>
      </w:r>
      <w:proofErr w:type="gramStart"/>
      <w:r>
        <w:rPr>
          <w:rFonts w:ascii="仿宋_GB2312" w:eastAsia="仿宋_GB2312" w:hint="eastAsia"/>
          <w:sz w:val="32"/>
          <w:szCs w:val="32"/>
        </w:rPr>
        <w:t>立项国</w:t>
      </w:r>
      <w:proofErr w:type="gramEnd"/>
      <w:r>
        <w:rPr>
          <w:rFonts w:ascii="仿宋_GB2312" w:eastAsia="仿宋_GB2312" w:hint="eastAsia"/>
          <w:sz w:val="32"/>
          <w:szCs w:val="32"/>
        </w:rPr>
        <w:t>自然项目168项，共获经费8208万元，居全省各市首位，其中鼓楼医院立项100项，数量连续3年破百。二是推动卫生科技成果转化。出台促进南京市医疗卫生机构科技成果转化的实施意见，持续推进研究型医院建设。鼓楼医院顾宁院士牵头的“基因与细胞仿生医学研究设施”</w:t>
      </w:r>
      <w:proofErr w:type="gramStart"/>
      <w:r>
        <w:rPr>
          <w:rFonts w:ascii="仿宋_GB2312" w:eastAsia="仿宋_GB2312" w:hint="eastAsia"/>
          <w:sz w:val="32"/>
          <w:szCs w:val="32"/>
        </w:rPr>
        <w:t>获批省重大</w:t>
      </w:r>
      <w:proofErr w:type="gramEnd"/>
      <w:r>
        <w:rPr>
          <w:rFonts w:ascii="仿宋_GB2312" w:eastAsia="仿宋_GB2312" w:hint="eastAsia"/>
          <w:sz w:val="32"/>
          <w:szCs w:val="32"/>
        </w:rPr>
        <w:t>科技基础设施培育项目；鼓楼医院入选首批</w:t>
      </w:r>
      <w:proofErr w:type="gramStart"/>
      <w:r>
        <w:rPr>
          <w:rFonts w:ascii="仿宋_GB2312" w:eastAsia="仿宋_GB2312" w:hint="eastAsia"/>
          <w:sz w:val="32"/>
          <w:szCs w:val="32"/>
        </w:rPr>
        <w:t>省概念</w:t>
      </w:r>
      <w:proofErr w:type="gramEnd"/>
      <w:r>
        <w:rPr>
          <w:rFonts w:ascii="仿宋_GB2312" w:eastAsia="仿宋_GB2312" w:hint="eastAsia"/>
          <w:sz w:val="32"/>
          <w:szCs w:val="32"/>
        </w:rPr>
        <w:t>验证中心，是10个中心里唯一由医院承建的。三是强化卫生人才队伍建设。举办2期领导干部</w:t>
      </w:r>
      <w:proofErr w:type="gramStart"/>
      <w:r>
        <w:rPr>
          <w:rFonts w:ascii="仿宋_GB2312" w:eastAsia="仿宋_GB2312" w:hint="eastAsia"/>
          <w:sz w:val="32"/>
          <w:szCs w:val="32"/>
        </w:rPr>
        <w:t>履</w:t>
      </w:r>
      <w:proofErr w:type="gramEnd"/>
      <w:r>
        <w:rPr>
          <w:rFonts w:ascii="仿宋_GB2312" w:eastAsia="仿宋_GB2312" w:hint="eastAsia"/>
          <w:sz w:val="32"/>
          <w:szCs w:val="32"/>
        </w:rPr>
        <w:t>职能力提升专题培训班。全系统入选“长江讲席”1人、“海外优青”6人、“国家杰出医师”1人、“国家优秀青年医师”4人。</w:t>
      </w:r>
    </w:p>
    <w:p w:rsidR="000C4654" w:rsidRDefault="002321B0">
      <w:pPr>
        <w:numPr>
          <w:ilvl w:val="0"/>
          <w:numId w:val="2"/>
        </w:num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安全稳定工作取得新进展。一是深化安全生产督导检查。落实党委委员班子成员安全生产重点工作、安全生产权力和责任清单，重要节日前委领导班子成员均带队赴各区及直属单位开展安全生产检查。深入开展安全生产</w:t>
      </w:r>
      <w:proofErr w:type="gramStart"/>
      <w:r>
        <w:rPr>
          <w:rFonts w:ascii="仿宋_GB2312" w:eastAsia="仿宋_GB2312" w:hint="eastAsia"/>
          <w:sz w:val="32"/>
          <w:szCs w:val="32"/>
        </w:rPr>
        <w:t>治本攻坚</w:t>
      </w:r>
      <w:proofErr w:type="gramEnd"/>
      <w:r>
        <w:rPr>
          <w:rFonts w:ascii="仿宋_GB2312" w:eastAsia="仿宋_GB2312" w:hint="eastAsia"/>
          <w:sz w:val="32"/>
          <w:szCs w:val="32"/>
        </w:rPr>
        <w:t>三年行动、消防安全集中除患攻坚大整治，投入3800余万元推动97家医疗</w:t>
      </w:r>
      <w:proofErr w:type="gramStart"/>
      <w:r>
        <w:rPr>
          <w:rFonts w:ascii="仿宋_GB2312" w:eastAsia="仿宋_GB2312" w:hint="eastAsia"/>
          <w:sz w:val="32"/>
          <w:szCs w:val="32"/>
        </w:rPr>
        <w:t>机构消防</w:t>
      </w:r>
      <w:proofErr w:type="gramEnd"/>
      <w:r>
        <w:rPr>
          <w:rFonts w:ascii="仿宋_GB2312" w:eastAsia="仿宋_GB2312" w:hint="eastAsia"/>
          <w:sz w:val="32"/>
          <w:szCs w:val="32"/>
        </w:rPr>
        <w:t>标准化建设达标，达标率94%。二是推进生物安全管理。认真履行市生物安全领域协调机制牵头部门责任，每季度开展风险隐患分析</w:t>
      </w:r>
      <w:proofErr w:type="gramStart"/>
      <w:r>
        <w:rPr>
          <w:rFonts w:ascii="仿宋_GB2312" w:eastAsia="仿宋_GB2312" w:hint="eastAsia"/>
          <w:sz w:val="32"/>
          <w:szCs w:val="32"/>
        </w:rPr>
        <w:t>研</w:t>
      </w:r>
      <w:proofErr w:type="gramEnd"/>
      <w:r>
        <w:rPr>
          <w:rFonts w:ascii="仿宋_GB2312" w:eastAsia="仿宋_GB2312" w:hint="eastAsia"/>
          <w:sz w:val="32"/>
          <w:szCs w:val="32"/>
        </w:rPr>
        <w:t>判，完成生物安全实验室备案238家。三是持续做好保密安全和信访稳定工作。加强组织领导，开展保密安全专题教育。</w:t>
      </w:r>
    </w:p>
    <w:p w:rsidR="000C4654" w:rsidRDefault="002321B0">
      <w:pPr>
        <w:pStyle w:val="1"/>
        <w:spacing w:before="0" w:after="0" w:line="360" w:lineRule="auto"/>
        <w:ind w:firstLineChars="200" w:firstLine="640"/>
        <w:rPr>
          <w:rFonts w:ascii="黑体" w:eastAsia="黑体" w:hAnsi="黑体"/>
          <w:b w:val="0"/>
          <w:sz w:val="32"/>
          <w:szCs w:val="32"/>
        </w:rPr>
      </w:pPr>
      <w:r>
        <w:rPr>
          <w:rFonts w:ascii="黑体" w:eastAsia="黑体" w:hAnsi="黑体" w:hint="eastAsia"/>
          <w:b w:val="0"/>
          <w:sz w:val="32"/>
          <w:szCs w:val="32"/>
        </w:rPr>
        <w:t>四、部门整体支出绩效存在的问题</w:t>
      </w:r>
      <w:bookmarkEnd w:id="15"/>
    </w:p>
    <w:p w:rsidR="000C4654" w:rsidRDefault="002321B0">
      <w:pPr>
        <w:pStyle w:val="2"/>
        <w:spacing w:before="0" w:after="0" w:line="600" w:lineRule="exact"/>
        <w:ind w:firstLineChars="200" w:firstLine="640"/>
        <w:rPr>
          <w:rFonts w:ascii="楷体" w:eastAsia="楷体" w:hAnsi="楷体"/>
          <w:b w:val="0"/>
        </w:rPr>
      </w:pPr>
      <w:bookmarkStart w:id="16" w:name="_Toc24624041"/>
      <w:r>
        <w:rPr>
          <w:rFonts w:ascii="楷体" w:eastAsia="楷体" w:hAnsi="楷体" w:hint="eastAsia"/>
          <w:b w:val="0"/>
        </w:rPr>
        <w:t>部分项目预算执行安排有待进一步加强</w:t>
      </w:r>
    </w:p>
    <w:p w:rsidR="000C4654" w:rsidRDefault="002321B0">
      <w:pPr>
        <w:spacing w:line="600" w:lineRule="exact"/>
        <w:ind w:firstLineChars="200" w:firstLine="640"/>
        <w:rPr>
          <w:rFonts w:ascii="仿宋_GB2312" w:eastAsia="仿宋_GB2312"/>
          <w:sz w:val="32"/>
          <w:szCs w:val="32"/>
        </w:rPr>
      </w:pPr>
      <w:r>
        <w:rPr>
          <w:rFonts w:ascii="仿宋_GB2312" w:eastAsia="仿宋_GB2312" w:hAnsi="仿宋_GB2312" w:cs="仿宋_GB2312" w:hint="eastAsia"/>
          <w:kern w:val="2"/>
          <w:sz w:val="32"/>
          <w:szCs w:val="32"/>
        </w:rPr>
        <w:t>预算绩效评价过程中发现，预算执行率存在偏差，部分专项经费年末有结余，未全部执行完毕。</w:t>
      </w:r>
    </w:p>
    <w:p w:rsidR="000C4654" w:rsidRDefault="002321B0">
      <w:pPr>
        <w:pStyle w:val="1"/>
        <w:numPr>
          <w:ilvl w:val="0"/>
          <w:numId w:val="3"/>
        </w:numPr>
        <w:spacing w:before="0" w:after="0" w:line="600" w:lineRule="exact"/>
        <w:ind w:firstLineChars="200" w:firstLine="640"/>
        <w:rPr>
          <w:rFonts w:ascii="黑体" w:eastAsia="黑体" w:hAnsi="黑体"/>
          <w:b w:val="0"/>
          <w:sz w:val="32"/>
          <w:szCs w:val="32"/>
        </w:rPr>
      </w:pPr>
      <w:r>
        <w:rPr>
          <w:rFonts w:ascii="黑体" w:eastAsia="黑体" w:hAnsi="黑体" w:hint="eastAsia"/>
          <w:b w:val="0"/>
          <w:sz w:val="32"/>
          <w:szCs w:val="32"/>
        </w:rPr>
        <w:t>有关建议</w:t>
      </w:r>
      <w:bookmarkEnd w:id="16"/>
    </w:p>
    <w:p w:rsidR="000C4654" w:rsidRDefault="002321B0">
      <w:pPr>
        <w:pStyle w:val="2"/>
        <w:spacing w:before="0" w:after="0" w:line="600" w:lineRule="exact"/>
        <w:ind w:firstLineChars="200" w:firstLine="640"/>
        <w:rPr>
          <w:rFonts w:ascii="楷体" w:eastAsia="楷体" w:hAnsi="楷体"/>
          <w:b w:val="0"/>
        </w:rPr>
      </w:pPr>
      <w:r>
        <w:rPr>
          <w:rFonts w:ascii="楷体" w:eastAsia="楷体" w:hAnsi="楷体" w:hint="eastAsia"/>
          <w:b w:val="0"/>
        </w:rPr>
        <w:t>进一步加强预算编制的准确度及执行管理</w:t>
      </w:r>
    </w:p>
    <w:p w:rsidR="000C4654" w:rsidRDefault="002321B0">
      <w:pPr>
        <w:overflowPunct/>
        <w:autoSpaceDE/>
        <w:autoSpaceDN/>
        <w:adjustRightInd/>
        <w:spacing w:line="520" w:lineRule="exact"/>
        <w:ind w:firstLineChars="200" w:firstLine="640"/>
        <w:textAlignment w:val="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资金主管处室结合年度工作情况，进一步提高预算编制的准确性，同时加强资金执行情况，提高预算执行率。</w:t>
      </w:r>
    </w:p>
    <w:p w:rsidR="000C4654" w:rsidRDefault="002321B0">
      <w:pPr>
        <w:overflowPunct/>
        <w:autoSpaceDE/>
        <w:autoSpaceDN/>
        <w:adjustRightInd/>
        <w:spacing w:line="520" w:lineRule="exact"/>
        <w:ind w:firstLineChars="200" w:firstLine="640"/>
        <w:textAlignment w:val="auto"/>
        <w:rPr>
          <w:rFonts w:ascii="黑体" w:eastAsia="黑体" w:hAnsi="黑体" w:cs="宋体"/>
          <w:color w:val="000000"/>
          <w:sz w:val="32"/>
          <w:szCs w:val="32"/>
        </w:rPr>
      </w:pPr>
      <w:r>
        <w:rPr>
          <w:rFonts w:ascii="黑体" w:eastAsia="黑体" w:hAnsi="黑体" w:cs="宋体" w:hint="eastAsia"/>
          <w:color w:val="000000"/>
          <w:sz w:val="32"/>
          <w:szCs w:val="32"/>
        </w:rPr>
        <w:t>六、评价工作开展情况及其他需说明的情况</w:t>
      </w:r>
    </w:p>
    <w:p w:rsidR="000C4654" w:rsidRDefault="002321B0" w:rsidP="000C4654">
      <w:pPr>
        <w:spacing w:line="560" w:lineRule="exact"/>
        <w:ind w:firstLineChars="200" w:firstLine="640"/>
        <w:jc w:val="left"/>
        <w:rPr>
          <w:rFonts w:ascii="仿宋" w:eastAsia="仿宋" w:hAnsi="仿宋"/>
          <w:sz w:val="32"/>
          <w:szCs w:val="32"/>
        </w:rPr>
      </w:pPr>
      <w:r>
        <w:rPr>
          <w:rFonts w:ascii="仿宋" w:eastAsia="仿宋" w:hAnsi="仿宋"/>
          <w:sz w:val="32"/>
          <w:szCs w:val="32"/>
        </w:rPr>
        <w:t>（一）评价工作展开情况</w:t>
      </w:r>
    </w:p>
    <w:p w:rsidR="000C4654" w:rsidRDefault="002321B0">
      <w:pPr>
        <w:spacing w:line="560" w:lineRule="exact"/>
        <w:ind w:firstLineChars="200" w:firstLine="640"/>
        <w:jc w:val="left"/>
        <w:rPr>
          <w:rFonts w:ascii="仿宋" w:eastAsia="仿宋" w:hAnsi="仿宋"/>
          <w:sz w:val="32"/>
          <w:szCs w:val="32"/>
        </w:rPr>
      </w:pPr>
      <w:r>
        <w:rPr>
          <w:rFonts w:ascii="仿宋" w:eastAsia="仿宋" w:hAnsi="仿宋"/>
          <w:sz w:val="32"/>
          <w:szCs w:val="32"/>
        </w:rPr>
        <w:t>1.评价基本情况</w:t>
      </w:r>
    </w:p>
    <w:p w:rsidR="000C4654" w:rsidRDefault="002321B0">
      <w:pPr>
        <w:spacing w:line="560" w:lineRule="exact"/>
        <w:ind w:firstLineChars="200" w:firstLine="640"/>
        <w:jc w:val="left"/>
        <w:rPr>
          <w:rFonts w:ascii="仿宋" w:eastAsia="仿宋" w:hAnsi="仿宋"/>
          <w:sz w:val="32"/>
          <w:szCs w:val="32"/>
        </w:rPr>
      </w:pPr>
      <w:r>
        <w:rPr>
          <w:rFonts w:ascii="仿宋" w:eastAsia="仿宋" w:hAnsi="仿宋"/>
          <w:sz w:val="32"/>
          <w:szCs w:val="32"/>
        </w:rPr>
        <w:t>本次绩效</w:t>
      </w:r>
      <w:proofErr w:type="gramStart"/>
      <w:r>
        <w:rPr>
          <w:rFonts w:ascii="仿宋" w:eastAsia="仿宋" w:hAnsi="仿宋"/>
          <w:sz w:val="32"/>
          <w:szCs w:val="32"/>
        </w:rPr>
        <w:t>自评价</w:t>
      </w:r>
      <w:proofErr w:type="gramEnd"/>
      <w:r>
        <w:rPr>
          <w:rFonts w:ascii="仿宋" w:eastAsia="仿宋" w:hAnsi="仿宋"/>
          <w:sz w:val="32"/>
          <w:szCs w:val="32"/>
        </w:rPr>
        <w:t>对象是</w:t>
      </w:r>
      <w:r>
        <w:rPr>
          <w:rFonts w:ascii="仿宋" w:eastAsia="仿宋" w:hAnsi="仿宋" w:hint="eastAsia"/>
          <w:sz w:val="32"/>
          <w:szCs w:val="32"/>
        </w:rPr>
        <w:t>2024</w:t>
      </w:r>
      <w:r>
        <w:rPr>
          <w:rFonts w:ascii="仿宋" w:eastAsia="仿宋" w:hAnsi="仿宋"/>
          <w:sz w:val="32"/>
          <w:szCs w:val="32"/>
        </w:rPr>
        <w:t>年度</w:t>
      </w:r>
      <w:r>
        <w:rPr>
          <w:rFonts w:ascii="仿宋" w:eastAsia="仿宋" w:hAnsi="仿宋" w:hint="eastAsia"/>
          <w:sz w:val="32"/>
          <w:szCs w:val="32"/>
        </w:rPr>
        <w:t>市卫</w:t>
      </w:r>
      <w:proofErr w:type="gramStart"/>
      <w:r>
        <w:rPr>
          <w:rFonts w:ascii="仿宋" w:eastAsia="仿宋" w:hAnsi="仿宋" w:hint="eastAsia"/>
          <w:sz w:val="32"/>
          <w:szCs w:val="32"/>
        </w:rPr>
        <w:t>健委部门</w:t>
      </w:r>
      <w:proofErr w:type="gramEnd"/>
      <w:r>
        <w:rPr>
          <w:rFonts w:ascii="仿宋" w:eastAsia="仿宋" w:hAnsi="仿宋" w:hint="eastAsia"/>
          <w:sz w:val="32"/>
          <w:szCs w:val="32"/>
        </w:rPr>
        <w:t>预算</w:t>
      </w:r>
      <w:r>
        <w:rPr>
          <w:rFonts w:ascii="仿宋" w:eastAsia="仿宋" w:hAnsi="仿宋"/>
          <w:sz w:val="32"/>
          <w:szCs w:val="32"/>
        </w:rPr>
        <w:t>；目的是通过开展</w:t>
      </w:r>
      <w:r>
        <w:rPr>
          <w:rFonts w:ascii="仿宋" w:eastAsia="仿宋" w:hAnsi="仿宋" w:hint="eastAsia"/>
          <w:sz w:val="32"/>
          <w:szCs w:val="32"/>
        </w:rPr>
        <w:t>整体</w:t>
      </w:r>
      <w:r>
        <w:rPr>
          <w:rFonts w:ascii="仿宋" w:eastAsia="仿宋" w:hAnsi="仿宋"/>
          <w:sz w:val="32"/>
          <w:szCs w:val="32"/>
        </w:rPr>
        <w:t>绩效自评价，进一步规范</w:t>
      </w:r>
      <w:r>
        <w:rPr>
          <w:rFonts w:ascii="仿宋" w:eastAsia="仿宋" w:hAnsi="仿宋" w:hint="eastAsia"/>
          <w:sz w:val="32"/>
          <w:szCs w:val="32"/>
        </w:rPr>
        <w:t>单位预算</w:t>
      </w:r>
      <w:r>
        <w:rPr>
          <w:rFonts w:ascii="仿宋" w:eastAsia="仿宋" w:hAnsi="仿宋"/>
          <w:sz w:val="32"/>
          <w:szCs w:val="32"/>
        </w:rPr>
        <w:t>管理，</w:t>
      </w:r>
      <w:r>
        <w:rPr>
          <w:rFonts w:ascii="仿宋" w:eastAsia="仿宋" w:hAnsi="仿宋"/>
          <w:sz w:val="32"/>
          <w:szCs w:val="32"/>
        </w:rPr>
        <w:lastRenderedPageBreak/>
        <w:t>强化绩效和责任意识，切实提高资金使用效益；评价遵循科学规范、客观公正和实事求是三项原则，主要采用综合评价法进行评价。</w:t>
      </w:r>
    </w:p>
    <w:p w:rsidR="000C4654" w:rsidRDefault="002321B0">
      <w:pPr>
        <w:spacing w:line="560" w:lineRule="exact"/>
        <w:ind w:firstLineChars="200" w:firstLine="640"/>
        <w:jc w:val="left"/>
        <w:rPr>
          <w:rFonts w:ascii="仿宋" w:eastAsia="仿宋" w:hAnsi="仿宋"/>
          <w:sz w:val="32"/>
          <w:szCs w:val="32"/>
        </w:rPr>
      </w:pPr>
      <w:r>
        <w:rPr>
          <w:rFonts w:ascii="仿宋" w:eastAsia="仿宋" w:hAnsi="仿宋"/>
          <w:sz w:val="32"/>
          <w:szCs w:val="32"/>
        </w:rPr>
        <w:t>2.评价实施情况</w:t>
      </w:r>
    </w:p>
    <w:p w:rsidR="000C4654" w:rsidRDefault="002321B0">
      <w:pPr>
        <w:spacing w:line="560" w:lineRule="exact"/>
        <w:ind w:firstLineChars="200" w:firstLine="640"/>
        <w:jc w:val="left"/>
        <w:rPr>
          <w:rFonts w:ascii="仿宋" w:eastAsia="仿宋" w:hAnsi="仿宋"/>
          <w:sz w:val="32"/>
          <w:szCs w:val="32"/>
        </w:rPr>
      </w:pPr>
      <w:r>
        <w:rPr>
          <w:rFonts w:ascii="仿宋" w:eastAsia="仿宋" w:hAnsi="仿宋"/>
          <w:sz w:val="32"/>
          <w:szCs w:val="32"/>
        </w:rPr>
        <w:t>本次</w:t>
      </w:r>
      <w:proofErr w:type="gramStart"/>
      <w:r>
        <w:rPr>
          <w:rFonts w:ascii="仿宋" w:eastAsia="仿宋" w:hAnsi="仿宋"/>
          <w:sz w:val="32"/>
          <w:szCs w:val="32"/>
        </w:rPr>
        <w:t>自评价</w:t>
      </w:r>
      <w:proofErr w:type="gramEnd"/>
      <w:r>
        <w:rPr>
          <w:rFonts w:ascii="仿宋" w:eastAsia="仿宋" w:hAnsi="仿宋"/>
          <w:sz w:val="32"/>
          <w:szCs w:val="32"/>
        </w:rPr>
        <w:t>包括调研沟通、收集</w:t>
      </w:r>
      <w:r>
        <w:rPr>
          <w:rFonts w:ascii="仿宋" w:eastAsia="仿宋" w:hAnsi="仿宋" w:hint="eastAsia"/>
          <w:sz w:val="32"/>
          <w:szCs w:val="32"/>
        </w:rPr>
        <w:t>数据</w:t>
      </w:r>
      <w:r>
        <w:rPr>
          <w:rFonts w:ascii="仿宋" w:eastAsia="仿宋" w:hAnsi="仿宋"/>
          <w:sz w:val="32"/>
          <w:szCs w:val="32"/>
        </w:rPr>
        <w:t>资料、确定指标体系、明确绩效评价方法、形成评价方案、现场考评、对照体系打分、撰写评价报告等八个步骤。</w:t>
      </w:r>
    </w:p>
    <w:p w:rsidR="000C4654" w:rsidRDefault="002321B0">
      <w:pPr>
        <w:spacing w:line="560" w:lineRule="exact"/>
        <w:ind w:firstLineChars="200" w:firstLine="640"/>
        <w:jc w:val="left"/>
        <w:rPr>
          <w:rFonts w:ascii="仿宋" w:eastAsia="仿宋" w:hAnsi="仿宋"/>
          <w:sz w:val="32"/>
          <w:szCs w:val="32"/>
        </w:rPr>
      </w:pPr>
      <w:r>
        <w:rPr>
          <w:rFonts w:ascii="仿宋" w:eastAsia="仿宋" w:hAnsi="仿宋"/>
          <w:sz w:val="32"/>
          <w:szCs w:val="32"/>
        </w:rPr>
        <w:t>指标体系优先选取最具代表性、最能直接反映产出、效益的核心指标，精简实用。</w:t>
      </w:r>
    </w:p>
    <w:p w:rsidR="000C4654" w:rsidRDefault="002321B0">
      <w:pPr>
        <w:spacing w:line="560" w:lineRule="exact"/>
        <w:ind w:firstLineChars="200" w:firstLine="640"/>
        <w:jc w:val="left"/>
      </w:pPr>
      <w:r>
        <w:rPr>
          <w:rFonts w:ascii="仿宋" w:eastAsia="仿宋" w:hAnsi="仿宋"/>
          <w:sz w:val="32"/>
          <w:szCs w:val="32"/>
        </w:rPr>
        <w:t>通过对照指标体系组织考评，逐条分析打分并形成初步结论。绩效评价结果实施百分制和四级分类：90（含）-100分为优、80（含）-90分为良、60（含）-80分为中、60分以下为差。</w:t>
      </w:r>
    </w:p>
    <w:p w:rsidR="000C4654" w:rsidRDefault="000C4654" w:rsidP="000C4654">
      <w:pPr>
        <w:pStyle w:val="a7"/>
        <w:ind w:firstLine="210"/>
      </w:pPr>
    </w:p>
    <w:p w:rsidR="000C4654" w:rsidRDefault="000C4654">
      <w:pPr>
        <w:pStyle w:val="a7"/>
        <w:ind w:firstLineChars="200" w:firstLine="640"/>
        <w:rPr>
          <w:rFonts w:ascii="仿宋_GB2312" w:eastAsia="仿宋_GB2312"/>
          <w:sz w:val="32"/>
          <w:szCs w:val="32"/>
        </w:rPr>
      </w:pPr>
    </w:p>
    <w:p w:rsidR="000C4654" w:rsidRDefault="000C4654">
      <w:pPr>
        <w:pStyle w:val="a7"/>
        <w:ind w:firstLineChars="200" w:firstLine="640"/>
        <w:rPr>
          <w:rFonts w:ascii="仿宋_GB2312" w:eastAsia="仿宋_GB2312"/>
          <w:sz w:val="32"/>
          <w:szCs w:val="32"/>
        </w:rPr>
      </w:pPr>
    </w:p>
    <w:p w:rsidR="000C4654" w:rsidRDefault="000C4654"/>
    <w:p w:rsidR="000C4654" w:rsidRDefault="000C4654"/>
    <w:p w:rsidR="000C4654" w:rsidRDefault="000C4654"/>
    <w:p w:rsidR="000C4654" w:rsidRDefault="000C4654"/>
    <w:p w:rsidR="000C4654" w:rsidRDefault="000C4654"/>
    <w:p w:rsidR="000C4654" w:rsidRDefault="000C4654"/>
    <w:p w:rsidR="000C4654" w:rsidRDefault="000C4654"/>
    <w:p w:rsidR="000C4654" w:rsidRDefault="000C4654"/>
    <w:p w:rsidR="000C4654" w:rsidRDefault="000C4654"/>
    <w:p w:rsidR="000C4654" w:rsidRDefault="000C4654"/>
    <w:p w:rsidR="000C4654" w:rsidRDefault="000C4654">
      <w:pPr>
        <w:sectPr w:rsidR="000C4654">
          <w:pgSz w:w="11906" w:h="16838"/>
          <w:pgMar w:top="1440" w:right="1800" w:bottom="1440" w:left="1800" w:header="851" w:footer="992" w:gutter="0"/>
          <w:cols w:space="425"/>
          <w:docGrid w:type="lines" w:linePitch="312"/>
        </w:sectPr>
      </w:pPr>
    </w:p>
    <w:tbl>
      <w:tblPr>
        <w:tblW w:w="5000" w:type="pct"/>
        <w:tblLook w:val="04A0"/>
      </w:tblPr>
      <w:tblGrid>
        <w:gridCol w:w="630"/>
        <w:gridCol w:w="1553"/>
        <w:gridCol w:w="2143"/>
        <w:gridCol w:w="1083"/>
        <w:gridCol w:w="797"/>
        <w:gridCol w:w="629"/>
        <w:gridCol w:w="629"/>
        <w:gridCol w:w="1151"/>
        <w:gridCol w:w="5559"/>
      </w:tblGrid>
      <w:tr w:rsidR="000C4654">
        <w:trPr>
          <w:trHeight w:val="450"/>
        </w:trPr>
        <w:tc>
          <w:tcPr>
            <w:tcW w:w="5000" w:type="pct"/>
            <w:gridSpan w:val="9"/>
            <w:tcBorders>
              <w:top w:val="nil"/>
              <w:left w:val="nil"/>
              <w:bottom w:val="nil"/>
              <w:right w:val="nil"/>
            </w:tcBorders>
            <w:shd w:val="clear" w:color="auto" w:fill="auto"/>
            <w:noWrap/>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lastRenderedPageBreak/>
              <w:t>南京市卫生健康委员会2024年度部门整体支出绩效综合评价表</w:t>
            </w:r>
          </w:p>
        </w:tc>
      </w:tr>
      <w:tr w:rsidR="000C4654">
        <w:trPr>
          <w:trHeight w:val="285"/>
        </w:trPr>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一级指标</w:t>
            </w:r>
          </w:p>
        </w:tc>
        <w:tc>
          <w:tcPr>
            <w:tcW w:w="13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二级指标</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三级指标</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权重</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得分</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目标值</w:t>
            </w:r>
          </w:p>
        </w:tc>
        <w:tc>
          <w:tcPr>
            <w:tcW w:w="406" w:type="pct"/>
            <w:tcBorders>
              <w:top w:val="single" w:sz="4" w:space="0" w:color="000000"/>
              <w:left w:val="single" w:sz="4" w:space="0" w:color="000000"/>
              <w:bottom w:val="single" w:sz="4" w:space="0" w:color="000000"/>
              <w:right w:val="nil"/>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实际完成值</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指标解释及评分标准</w:t>
            </w:r>
          </w:p>
        </w:tc>
      </w:tr>
      <w:tr w:rsidR="000C4654">
        <w:trPr>
          <w:trHeight w:val="450"/>
        </w:trPr>
        <w:tc>
          <w:tcPr>
            <w:tcW w:w="2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决策</w:t>
            </w:r>
            <w:r>
              <w:rPr>
                <w:rFonts w:ascii="宋体" w:hAnsi="宋体" w:cs="宋体" w:hint="eastAsia"/>
                <w:color w:val="000000"/>
                <w:sz w:val="15"/>
                <w:szCs w:val="15"/>
              </w:rPr>
              <w:br/>
              <w:t>（15分）</w:t>
            </w:r>
          </w:p>
        </w:tc>
        <w:tc>
          <w:tcPr>
            <w:tcW w:w="130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计划制定</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工作计划制定健全性</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2</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2</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健全</w:t>
            </w:r>
          </w:p>
        </w:tc>
        <w:tc>
          <w:tcPr>
            <w:tcW w:w="406" w:type="pct"/>
            <w:tcBorders>
              <w:top w:val="single" w:sz="4" w:space="0" w:color="000000"/>
              <w:left w:val="single" w:sz="4" w:space="0" w:color="000000"/>
              <w:bottom w:val="single" w:sz="4" w:space="0" w:color="000000"/>
              <w:right w:val="nil"/>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健全</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①部门具有年度工作计划得50%权重分，如不符扣除相应50%权重分的1/3；②再根据年度工作计划对总体目标、计划实施内容、时间安排、资金安排、人员安排有明确安排，则分别得剩余权重分的1/5。</w:t>
            </w:r>
          </w:p>
        </w:tc>
      </w:tr>
      <w:tr w:rsidR="000C4654">
        <w:trPr>
          <w:trHeight w:val="45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13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中长期规划制定健全性</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2</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2</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健全</w:t>
            </w:r>
          </w:p>
        </w:tc>
        <w:tc>
          <w:tcPr>
            <w:tcW w:w="406" w:type="pct"/>
            <w:tcBorders>
              <w:top w:val="single" w:sz="4" w:space="0" w:color="000000"/>
              <w:left w:val="single" w:sz="4" w:space="0" w:color="000000"/>
              <w:bottom w:val="nil"/>
              <w:right w:val="nil"/>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健全</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部门具有长期战略规划得40%权重分，再根据长期战略规划是否对①部门总体中长远目标（占20%权重分）；②部门中长远规划实施内容（占20%权重分）；③时间进度要求（占20%权重分）有明确要求得相应权重分。</w:t>
            </w:r>
          </w:p>
        </w:tc>
      </w:tr>
      <w:tr w:rsidR="000C4654">
        <w:trPr>
          <w:trHeight w:val="45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130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目标设定</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绩效指标明确性</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2</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2</w:t>
            </w:r>
          </w:p>
        </w:tc>
        <w:tc>
          <w:tcPr>
            <w:tcW w:w="222" w:type="pct"/>
            <w:tcBorders>
              <w:top w:val="single" w:sz="4" w:space="0" w:color="000000"/>
              <w:left w:val="single" w:sz="4" w:space="0" w:color="000000"/>
              <w:bottom w:val="single" w:sz="4" w:space="0" w:color="000000"/>
              <w:right w:val="nil"/>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明确</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明确</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指标体系中包含产出指标得40%权重分，再根据长期战略规划是否对①部门总体中长远目标（占20%权重分）；②指标体系中包含效益指标（占20%权重分）；③指标完成值（占20%权重分）有明确要求得相应权重分。</w:t>
            </w:r>
          </w:p>
        </w:tc>
      </w:tr>
      <w:tr w:rsidR="000C4654">
        <w:trPr>
          <w:trHeight w:val="45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13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绩效目标合理性</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3</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3</w:t>
            </w:r>
          </w:p>
        </w:tc>
        <w:tc>
          <w:tcPr>
            <w:tcW w:w="222" w:type="pct"/>
            <w:tcBorders>
              <w:top w:val="single" w:sz="4" w:space="0" w:color="000000"/>
              <w:left w:val="single" w:sz="4" w:space="0" w:color="000000"/>
              <w:bottom w:val="single" w:sz="4" w:space="0" w:color="000000"/>
              <w:right w:val="nil"/>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合理</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合理</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绩效指标与本单位重点工作匹配（包括直属单位）要求得满分，每出现一项与部门职能（包括直属单位）无关则扣除权重分50%，扣完为止。</w:t>
            </w:r>
          </w:p>
        </w:tc>
      </w:tr>
      <w:tr w:rsidR="000C4654">
        <w:trPr>
          <w:trHeight w:val="45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130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预算编制</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预算编制规范性</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3</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3</w:t>
            </w:r>
          </w:p>
        </w:tc>
        <w:tc>
          <w:tcPr>
            <w:tcW w:w="222" w:type="pct"/>
            <w:tcBorders>
              <w:top w:val="single" w:sz="4" w:space="0" w:color="000000"/>
              <w:left w:val="single" w:sz="4" w:space="0" w:color="000000"/>
              <w:bottom w:val="single" w:sz="4" w:space="0" w:color="000000"/>
              <w:right w:val="nil"/>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规范</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规范</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预算编制指“内部预算编制”，“规范”衡量流程执行。根据实际情况酌情打分，评级“规范”、“较规范”、“一般规范”、“不规范”，分别得权重分100%、75%、50%、0。</w:t>
            </w:r>
          </w:p>
        </w:tc>
      </w:tr>
      <w:tr w:rsidR="000C4654">
        <w:trPr>
          <w:trHeight w:val="45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13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预算编制科学性</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3</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3</w:t>
            </w:r>
          </w:p>
        </w:tc>
        <w:tc>
          <w:tcPr>
            <w:tcW w:w="222" w:type="pct"/>
            <w:tcBorders>
              <w:top w:val="single" w:sz="4" w:space="0" w:color="000000"/>
              <w:left w:val="single" w:sz="4" w:space="0" w:color="000000"/>
              <w:bottom w:val="single" w:sz="4" w:space="0" w:color="000000"/>
              <w:right w:val="nil"/>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科学</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科学</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预算编制指“内部预算编制”，“科学”衡量制度设计。根据实际情况酌情打分，评级“科学”、“较科学”、“一般科学”、“不科学”，分别得权重分100%、75%、50%、0。</w:t>
            </w:r>
          </w:p>
        </w:tc>
      </w:tr>
      <w:tr w:rsidR="000C4654">
        <w:trPr>
          <w:trHeight w:val="1080"/>
        </w:trPr>
        <w:tc>
          <w:tcPr>
            <w:tcW w:w="2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过程</w:t>
            </w:r>
            <w:r>
              <w:rPr>
                <w:rFonts w:ascii="宋体" w:hAnsi="宋体" w:cs="宋体" w:hint="eastAsia"/>
                <w:color w:val="000000"/>
                <w:sz w:val="15"/>
                <w:szCs w:val="15"/>
              </w:rPr>
              <w:br/>
              <w:t>（20分）</w:t>
            </w:r>
          </w:p>
        </w:tc>
        <w:tc>
          <w:tcPr>
            <w:tcW w:w="130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预算执行</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非税收入预算完成率</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w:t>
            </w:r>
          </w:p>
        </w:tc>
        <w:tc>
          <w:tcPr>
            <w:tcW w:w="222" w:type="pct"/>
            <w:tcBorders>
              <w:top w:val="single" w:sz="4" w:space="0" w:color="000000"/>
              <w:left w:val="single" w:sz="4" w:space="0" w:color="000000"/>
              <w:bottom w:val="single" w:sz="4" w:space="0" w:color="000000"/>
              <w:right w:val="nil"/>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＝100%</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非税收入预算完成率=年度非税收入上缴数/年度预算上缴数×100%。达到目标值得满分，每偏离目标值1%，扣除权重分的5%，扣完为止。支出以决算数据为准（以下支出口径相同）。</w:t>
            </w:r>
          </w:p>
        </w:tc>
      </w:tr>
      <w:tr w:rsidR="000C4654">
        <w:trPr>
          <w:trHeight w:val="81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13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政府采购执行率</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w:t>
            </w:r>
          </w:p>
        </w:tc>
        <w:tc>
          <w:tcPr>
            <w:tcW w:w="222" w:type="pct"/>
            <w:tcBorders>
              <w:top w:val="single" w:sz="4" w:space="0" w:color="000000"/>
              <w:left w:val="single" w:sz="4" w:space="0" w:color="000000"/>
              <w:bottom w:val="single" w:sz="4" w:space="0" w:color="000000"/>
              <w:right w:val="nil"/>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＝100%</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政府采购执行率=年度政府采购金额/年度预算政府采购金额×100%。达到目标值得满分，每偏离目标值1%，扣除权重分的5%，扣完为止。支出以决算数据为准（以下支出口径相同）。</w:t>
            </w:r>
          </w:p>
        </w:tc>
      </w:tr>
      <w:tr w:rsidR="000C4654">
        <w:trPr>
          <w:trHeight w:val="675"/>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13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“三公</w:t>
            </w:r>
            <w:r w:rsidR="00C14ACF">
              <w:rPr>
                <w:rFonts w:ascii="宋体" w:hAnsi="宋体" w:cs="宋体" w:hint="eastAsia"/>
                <w:color w:val="000000"/>
                <w:sz w:val="15"/>
                <w:szCs w:val="15"/>
              </w:rPr>
              <w:t>”经费</w:t>
            </w:r>
            <w:r>
              <w:rPr>
                <w:rFonts w:ascii="宋体" w:hAnsi="宋体" w:cs="宋体" w:hint="eastAsia"/>
                <w:color w:val="000000"/>
                <w:sz w:val="15"/>
                <w:szCs w:val="15"/>
              </w:rPr>
              <w:t>变动率</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w:t>
            </w:r>
          </w:p>
        </w:tc>
        <w:tc>
          <w:tcPr>
            <w:tcW w:w="222" w:type="pct"/>
            <w:tcBorders>
              <w:top w:val="single" w:sz="4" w:space="0" w:color="000000"/>
              <w:left w:val="single" w:sz="4" w:space="0" w:color="000000"/>
              <w:bottom w:val="single" w:sz="4" w:space="0" w:color="000000"/>
              <w:right w:val="nil"/>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＝0%</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rsidP="00C14ACF">
            <w:pPr>
              <w:jc w:val="left"/>
              <w:textAlignment w:val="center"/>
              <w:rPr>
                <w:rFonts w:ascii="宋体" w:hAnsi="宋体" w:cs="宋体"/>
                <w:color w:val="000000"/>
                <w:sz w:val="15"/>
                <w:szCs w:val="15"/>
              </w:rPr>
            </w:pPr>
            <w:r>
              <w:rPr>
                <w:rFonts w:ascii="宋体" w:hAnsi="宋体" w:cs="宋体" w:hint="eastAsia"/>
                <w:color w:val="000000"/>
                <w:sz w:val="15"/>
                <w:szCs w:val="15"/>
              </w:rPr>
              <w:t>“三公</w:t>
            </w:r>
            <w:r w:rsidR="00C14ACF">
              <w:rPr>
                <w:rFonts w:ascii="宋体" w:hAnsi="宋体" w:cs="宋体" w:hint="eastAsia"/>
                <w:color w:val="000000"/>
                <w:sz w:val="15"/>
                <w:szCs w:val="15"/>
              </w:rPr>
              <w:t>”</w:t>
            </w:r>
            <w:r>
              <w:rPr>
                <w:rFonts w:ascii="宋体" w:hAnsi="宋体" w:cs="宋体" w:hint="eastAsia"/>
                <w:color w:val="000000"/>
                <w:sz w:val="15"/>
                <w:szCs w:val="15"/>
              </w:rPr>
              <w:t>经费控制率=本年度“三公</w:t>
            </w:r>
            <w:r w:rsidR="00C14ACF">
              <w:rPr>
                <w:rFonts w:ascii="宋体" w:hAnsi="宋体" w:cs="宋体" w:hint="eastAsia"/>
                <w:color w:val="000000"/>
                <w:sz w:val="15"/>
                <w:szCs w:val="15"/>
              </w:rPr>
              <w:t>”</w:t>
            </w:r>
            <w:r>
              <w:rPr>
                <w:rFonts w:ascii="宋体" w:hAnsi="宋体" w:cs="宋体" w:hint="eastAsia"/>
                <w:color w:val="000000"/>
                <w:sz w:val="15"/>
                <w:szCs w:val="15"/>
              </w:rPr>
              <w:t>经费支出总额/本年度</w:t>
            </w:r>
            <w:r w:rsidR="00C14ACF">
              <w:rPr>
                <w:rFonts w:ascii="宋体" w:hAnsi="宋体" w:cs="宋体" w:hint="eastAsia"/>
                <w:color w:val="000000"/>
                <w:sz w:val="15"/>
                <w:szCs w:val="15"/>
              </w:rPr>
              <w:t>“三公”经费</w:t>
            </w:r>
            <w:r>
              <w:rPr>
                <w:rFonts w:ascii="宋体" w:hAnsi="宋体" w:cs="宋体" w:hint="eastAsia"/>
                <w:color w:val="000000"/>
                <w:sz w:val="15"/>
                <w:szCs w:val="15"/>
              </w:rPr>
              <w:t>预算总额×100%。</w:t>
            </w:r>
            <w:r w:rsidR="00C14ACF">
              <w:rPr>
                <w:rFonts w:ascii="宋体" w:hAnsi="宋体" w:cs="宋体" w:hint="eastAsia"/>
                <w:color w:val="000000"/>
                <w:sz w:val="15"/>
                <w:szCs w:val="15"/>
              </w:rPr>
              <w:t>“三公”经费</w:t>
            </w:r>
            <w:r>
              <w:rPr>
                <w:rFonts w:ascii="宋体" w:hAnsi="宋体" w:cs="宋体" w:hint="eastAsia"/>
                <w:color w:val="000000"/>
                <w:sz w:val="15"/>
                <w:szCs w:val="15"/>
              </w:rPr>
              <w:t>：年度预算安排的因公出国（境）费、公务车辆购置及运行费和公务招待费。不超支得满分，超支则每偏离目标值1%，扣除权重分的1%，扣完为止。</w:t>
            </w:r>
          </w:p>
        </w:tc>
      </w:tr>
      <w:tr w:rsidR="000C4654">
        <w:trPr>
          <w:trHeight w:val="108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13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公用经费控制率</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w:t>
            </w:r>
          </w:p>
        </w:tc>
        <w:tc>
          <w:tcPr>
            <w:tcW w:w="222" w:type="pct"/>
            <w:tcBorders>
              <w:top w:val="single" w:sz="4" w:space="0" w:color="000000"/>
              <w:left w:val="single" w:sz="4" w:space="0" w:color="000000"/>
              <w:bottom w:val="single" w:sz="4" w:space="0" w:color="000000"/>
              <w:right w:val="nil"/>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≤100%</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公用经费控制率=本年度公用经费支出总额/本年度公用经费预算总额×100%。不超支得满分，超支则每偏离目标值1%，扣除权重分的1%，扣完为止。</w:t>
            </w:r>
          </w:p>
        </w:tc>
      </w:tr>
      <w:tr w:rsidR="000C4654">
        <w:trPr>
          <w:trHeight w:val="135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13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结转结余率</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0.98</w:t>
            </w:r>
          </w:p>
        </w:tc>
        <w:tc>
          <w:tcPr>
            <w:tcW w:w="222" w:type="pct"/>
            <w:tcBorders>
              <w:top w:val="single" w:sz="4" w:space="0" w:color="000000"/>
              <w:left w:val="single" w:sz="4" w:space="0" w:color="000000"/>
              <w:bottom w:val="single" w:sz="4" w:space="0" w:color="000000"/>
              <w:right w:val="nil"/>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6.89%</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结转结余率=本年度财政结转结余总额/本年度财政收入总额×100%。每高于目标值5%，扣除权重分的1%，扣完为止。</w:t>
            </w:r>
          </w:p>
        </w:tc>
      </w:tr>
      <w:tr w:rsidR="000C4654">
        <w:trPr>
          <w:trHeight w:val="45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13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预算执行率</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0.7</w:t>
            </w:r>
          </w:p>
        </w:tc>
        <w:tc>
          <w:tcPr>
            <w:tcW w:w="222" w:type="pct"/>
            <w:tcBorders>
              <w:top w:val="single" w:sz="4" w:space="0" w:color="000000"/>
              <w:left w:val="single" w:sz="4" w:space="0" w:color="000000"/>
              <w:bottom w:val="single" w:sz="4" w:space="0" w:color="000000"/>
              <w:right w:val="nil"/>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93.11%</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部门预算执行率=年度财政支出数/年度财政预算收入×100%。达到目标值得满分，每偏离目标值1%，扣除权重分的5%，扣完为止。支出以决算数据为准（以下支出口径相同）。</w:t>
            </w:r>
          </w:p>
        </w:tc>
      </w:tr>
      <w:tr w:rsidR="000C4654">
        <w:trPr>
          <w:trHeight w:val="54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13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预算调整率</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w:t>
            </w:r>
          </w:p>
        </w:tc>
        <w:tc>
          <w:tcPr>
            <w:tcW w:w="222" w:type="pct"/>
            <w:tcBorders>
              <w:top w:val="single" w:sz="4" w:space="0" w:color="000000"/>
              <w:left w:val="single" w:sz="4" w:space="0" w:color="000000"/>
              <w:bottom w:val="single" w:sz="4" w:space="0" w:color="000000"/>
              <w:right w:val="nil"/>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＝0%</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预算调整率=年度预算外追加数/年度财政预算收入×100%。达到目标值得满分，每偏离目标值1%，扣除权重分的5%，扣完为止。支出以决算数据为准（以下支出口径相同）。</w:t>
            </w:r>
          </w:p>
        </w:tc>
      </w:tr>
      <w:tr w:rsidR="000C4654">
        <w:trPr>
          <w:trHeight w:val="54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13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支付进度符合率</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0.5</w:t>
            </w:r>
          </w:p>
        </w:tc>
        <w:tc>
          <w:tcPr>
            <w:tcW w:w="222" w:type="pct"/>
            <w:tcBorders>
              <w:top w:val="single" w:sz="4" w:space="0" w:color="000000"/>
              <w:left w:val="single" w:sz="4" w:space="0" w:color="000000"/>
              <w:bottom w:val="single" w:sz="4" w:space="0" w:color="000000"/>
              <w:right w:val="nil"/>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93.11%</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支付进度率=年度实际支出进度/年度预计支出进度×100%。半年度项目支出进度达到50%，得权重分，未达到50%，得50%权重分。</w:t>
            </w:r>
          </w:p>
        </w:tc>
      </w:tr>
      <w:tr w:rsidR="000C4654">
        <w:trPr>
          <w:trHeight w:val="45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130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预算管理</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预算管理制度健全性</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w:t>
            </w:r>
          </w:p>
        </w:tc>
        <w:tc>
          <w:tcPr>
            <w:tcW w:w="222" w:type="pct"/>
            <w:tcBorders>
              <w:top w:val="single" w:sz="4" w:space="0" w:color="000000"/>
              <w:left w:val="single" w:sz="4" w:space="0" w:color="000000"/>
              <w:bottom w:val="single" w:sz="4" w:space="0" w:color="000000"/>
              <w:right w:val="nil"/>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健全</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健全</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考察单位是否建立预算管理制度。根据实际情况酌情打分，评级“健全”、“基本健全”、“一般”、“不健全”，分别得权重分100%、75%、50%、0。</w:t>
            </w:r>
          </w:p>
        </w:tc>
      </w:tr>
      <w:tr w:rsidR="000C4654">
        <w:trPr>
          <w:trHeight w:val="45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13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非税收入管</w:t>
            </w:r>
            <w:r>
              <w:rPr>
                <w:rFonts w:ascii="宋体" w:hAnsi="宋体" w:cs="宋体" w:hint="eastAsia"/>
                <w:color w:val="000000"/>
                <w:sz w:val="15"/>
                <w:szCs w:val="15"/>
              </w:rPr>
              <w:lastRenderedPageBreak/>
              <w:t>理合</w:t>
            </w:r>
            <w:proofErr w:type="gramStart"/>
            <w:r>
              <w:rPr>
                <w:rFonts w:ascii="宋体" w:hAnsi="宋体" w:cs="宋体" w:hint="eastAsia"/>
                <w:color w:val="000000"/>
                <w:sz w:val="15"/>
                <w:szCs w:val="15"/>
              </w:rPr>
              <w:t>规</w:t>
            </w:r>
            <w:proofErr w:type="gramEnd"/>
            <w:r>
              <w:rPr>
                <w:rFonts w:ascii="宋体" w:hAnsi="宋体" w:cs="宋体" w:hint="eastAsia"/>
                <w:color w:val="000000"/>
                <w:sz w:val="15"/>
                <w:szCs w:val="15"/>
              </w:rPr>
              <w:t>性</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lastRenderedPageBreak/>
              <w:t>1</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w:t>
            </w:r>
          </w:p>
        </w:tc>
        <w:tc>
          <w:tcPr>
            <w:tcW w:w="222" w:type="pct"/>
            <w:tcBorders>
              <w:top w:val="single" w:sz="4" w:space="0" w:color="000000"/>
              <w:left w:val="single" w:sz="4" w:space="0" w:color="000000"/>
              <w:bottom w:val="single" w:sz="4" w:space="0" w:color="000000"/>
              <w:right w:val="nil"/>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合</w:t>
            </w:r>
            <w:proofErr w:type="gramStart"/>
            <w:r>
              <w:rPr>
                <w:rFonts w:ascii="宋体" w:hAnsi="宋体" w:cs="宋体" w:hint="eastAsia"/>
                <w:color w:val="000000"/>
                <w:sz w:val="15"/>
                <w:szCs w:val="15"/>
              </w:rPr>
              <w:t>规</w:t>
            </w:r>
            <w:proofErr w:type="gramEnd"/>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合</w:t>
            </w:r>
            <w:proofErr w:type="gramStart"/>
            <w:r>
              <w:rPr>
                <w:rFonts w:ascii="宋体" w:hAnsi="宋体" w:cs="宋体" w:hint="eastAsia"/>
                <w:color w:val="000000"/>
                <w:sz w:val="15"/>
                <w:szCs w:val="15"/>
              </w:rPr>
              <w:t>规</w:t>
            </w:r>
            <w:proofErr w:type="gramEnd"/>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考察非税收</w:t>
            </w:r>
            <w:proofErr w:type="gramStart"/>
            <w:r>
              <w:rPr>
                <w:rFonts w:ascii="宋体" w:hAnsi="宋体" w:cs="宋体" w:hint="eastAsia"/>
                <w:color w:val="000000"/>
                <w:sz w:val="15"/>
                <w:szCs w:val="15"/>
              </w:rPr>
              <w:t>入是否</w:t>
            </w:r>
            <w:proofErr w:type="gramEnd"/>
            <w:r>
              <w:rPr>
                <w:rFonts w:ascii="宋体" w:hAnsi="宋体" w:cs="宋体" w:hint="eastAsia"/>
                <w:color w:val="000000"/>
                <w:sz w:val="15"/>
                <w:szCs w:val="15"/>
              </w:rPr>
              <w:t>做到应交尽交。根据实际情况酌情打分，评级“合规”、“较合</w:t>
            </w:r>
            <w:r>
              <w:rPr>
                <w:rFonts w:ascii="宋体" w:hAnsi="宋体" w:cs="宋体" w:hint="eastAsia"/>
                <w:color w:val="000000"/>
                <w:sz w:val="15"/>
                <w:szCs w:val="15"/>
              </w:rPr>
              <w:lastRenderedPageBreak/>
              <w:t>规”、“一般合规”、“不合规”，分别得权重分100%、75%、50%、0。</w:t>
            </w:r>
          </w:p>
        </w:tc>
      </w:tr>
      <w:tr w:rsidR="000C4654">
        <w:trPr>
          <w:trHeight w:val="108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13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预决算信息公开度</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w:t>
            </w:r>
          </w:p>
        </w:tc>
        <w:tc>
          <w:tcPr>
            <w:tcW w:w="222" w:type="pct"/>
            <w:tcBorders>
              <w:top w:val="single" w:sz="4" w:space="0" w:color="000000"/>
              <w:left w:val="single" w:sz="4" w:space="0" w:color="000000"/>
              <w:bottom w:val="single" w:sz="4" w:space="0" w:color="000000"/>
              <w:right w:val="nil"/>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公开</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公开</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考察预决算信息是否在“双平台”进行公开，内容和时限是否符合要求。根据实际情况酌情打分，评级“优”、“良”、“中”、“差”，分别得权重分100%、75%、50%、0。</w:t>
            </w:r>
          </w:p>
        </w:tc>
      </w:tr>
      <w:tr w:rsidR="000C4654">
        <w:trPr>
          <w:trHeight w:val="135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13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基础信息完善性</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w:t>
            </w:r>
          </w:p>
        </w:tc>
        <w:tc>
          <w:tcPr>
            <w:tcW w:w="222" w:type="pct"/>
            <w:tcBorders>
              <w:top w:val="single" w:sz="4" w:space="0" w:color="000000"/>
              <w:left w:val="single" w:sz="4" w:space="0" w:color="000000"/>
              <w:bottom w:val="single" w:sz="4" w:space="0" w:color="000000"/>
              <w:right w:val="nil"/>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完善</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完善</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考察单位预算编制过程中人员、车辆等基础信息是否完整。根据实际情况酌情打分，评级“完善”、“基本完善”、“一般完善”、“不完善”，分别得权重分100%、75%、50%、0。</w:t>
            </w:r>
          </w:p>
        </w:tc>
      </w:tr>
      <w:tr w:rsidR="000C4654">
        <w:trPr>
          <w:trHeight w:val="54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13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绩效管理覆盖率</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w:t>
            </w:r>
          </w:p>
        </w:tc>
        <w:tc>
          <w:tcPr>
            <w:tcW w:w="222" w:type="pct"/>
            <w:tcBorders>
              <w:top w:val="single" w:sz="4" w:space="0" w:color="000000"/>
              <w:left w:val="single" w:sz="4" w:space="0" w:color="000000"/>
              <w:bottom w:val="single" w:sz="4" w:space="0" w:color="000000"/>
              <w:right w:val="nil"/>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＝100%</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绩效管理覆盖率=纳入绩效管理的项目预算/年初预算总额。根据覆盖率按比例得分。</w:t>
            </w:r>
          </w:p>
        </w:tc>
      </w:tr>
      <w:tr w:rsidR="000C4654">
        <w:trPr>
          <w:trHeight w:val="27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13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资金使用合</w:t>
            </w:r>
            <w:proofErr w:type="gramStart"/>
            <w:r>
              <w:rPr>
                <w:rFonts w:ascii="宋体" w:hAnsi="宋体" w:cs="宋体" w:hint="eastAsia"/>
                <w:color w:val="000000"/>
                <w:sz w:val="15"/>
                <w:szCs w:val="15"/>
              </w:rPr>
              <w:t>规</w:t>
            </w:r>
            <w:proofErr w:type="gramEnd"/>
            <w:r>
              <w:rPr>
                <w:rFonts w:ascii="宋体" w:hAnsi="宋体" w:cs="宋体" w:hint="eastAsia"/>
                <w:color w:val="000000"/>
                <w:sz w:val="15"/>
                <w:szCs w:val="15"/>
              </w:rPr>
              <w:t>性</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w:t>
            </w:r>
          </w:p>
        </w:tc>
        <w:tc>
          <w:tcPr>
            <w:tcW w:w="222" w:type="pct"/>
            <w:tcBorders>
              <w:top w:val="single" w:sz="4" w:space="0" w:color="000000"/>
              <w:left w:val="single" w:sz="4" w:space="0" w:color="000000"/>
              <w:bottom w:val="single" w:sz="4" w:space="0" w:color="000000"/>
              <w:right w:val="nil"/>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合</w:t>
            </w:r>
            <w:proofErr w:type="gramStart"/>
            <w:r>
              <w:rPr>
                <w:rFonts w:ascii="宋体" w:hAnsi="宋体" w:cs="宋体" w:hint="eastAsia"/>
                <w:color w:val="000000"/>
                <w:sz w:val="15"/>
                <w:szCs w:val="15"/>
              </w:rPr>
              <w:t>规</w:t>
            </w:r>
            <w:proofErr w:type="gramEnd"/>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合</w:t>
            </w:r>
            <w:proofErr w:type="gramStart"/>
            <w:r>
              <w:rPr>
                <w:rFonts w:ascii="宋体" w:hAnsi="宋体" w:cs="宋体" w:hint="eastAsia"/>
                <w:color w:val="000000"/>
                <w:sz w:val="15"/>
                <w:szCs w:val="15"/>
              </w:rPr>
              <w:t>规</w:t>
            </w:r>
            <w:proofErr w:type="gramEnd"/>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考察资金使用是否符合财经纪律、单位财务管理制度。发现一项扣减10%权重分，扣完为止。</w:t>
            </w:r>
          </w:p>
        </w:tc>
      </w:tr>
      <w:tr w:rsidR="000C4654">
        <w:trPr>
          <w:trHeight w:val="45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130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资产管理</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资产管理规范性</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w:t>
            </w:r>
          </w:p>
        </w:tc>
        <w:tc>
          <w:tcPr>
            <w:tcW w:w="222" w:type="pct"/>
            <w:tcBorders>
              <w:top w:val="single" w:sz="4" w:space="0" w:color="000000"/>
              <w:left w:val="single" w:sz="4" w:space="0" w:color="000000"/>
              <w:bottom w:val="single" w:sz="4" w:space="0" w:color="000000"/>
              <w:right w:val="nil"/>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规范</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规范</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考察资产是否达到内部控制管理要求。根据实际情况酌情打分，评级“规范”、“较规范”、“一般规范”、“不规范”，分别得权重分100%、75%、50%、0。</w:t>
            </w:r>
          </w:p>
        </w:tc>
      </w:tr>
      <w:tr w:rsidR="000C4654">
        <w:trPr>
          <w:trHeight w:val="27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13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固定资产利用率</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0.5</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0.5</w:t>
            </w:r>
          </w:p>
        </w:tc>
        <w:tc>
          <w:tcPr>
            <w:tcW w:w="222" w:type="pct"/>
            <w:tcBorders>
              <w:top w:val="single" w:sz="4" w:space="0" w:color="000000"/>
              <w:left w:val="single" w:sz="4" w:space="0" w:color="000000"/>
              <w:bottom w:val="single" w:sz="4" w:space="0" w:color="000000"/>
              <w:right w:val="nil"/>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＝100%</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固定资产利用率=正常使用资产数量/总资产数量。按比例得分。</w:t>
            </w:r>
          </w:p>
        </w:tc>
      </w:tr>
      <w:tr w:rsidR="000C4654">
        <w:trPr>
          <w:trHeight w:val="45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13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资产管理制度健全性</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0.5</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0.5</w:t>
            </w:r>
          </w:p>
        </w:tc>
        <w:tc>
          <w:tcPr>
            <w:tcW w:w="222" w:type="pct"/>
            <w:tcBorders>
              <w:top w:val="single" w:sz="4" w:space="0" w:color="000000"/>
              <w:left w:val="single" w:sz="4" w:space="0" w:color="000000"/>
              <w:bottom w:val="single" w:sz="4" w:space="0" w:color="000000"/>
              <w:right w:val="nil"/>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健全</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健全</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考察单位是否建立资产管理制度。根据实际情况酌情打分，评级“健全”、“基本健全”、“一般”、“不健全”，分别得权重分100%、75%、50%、0。</w:t>
            </w:r>
          </w:p>
        </w:tc>
      </w:tr>
      <w:tr w:rsidR="000C4654">
        <w:trPr>
          <w:trHeight w:val="45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130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项目管理</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项目管理制度执行规范性</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0.5</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0.5</w:t>
            </w:r>
          </w:p>
        </w:tc>
        <w:tc>
          <w:tcPr>
            <w:tcW w:w="222" w:type="pct"/>
            <w:tcBorders>
              <w:top w:val="single" w:sz="4" w:space="0" w:color="000000"/>
              <w:left w:val="single" w:sz="4" w:space="0" w:color="000000"/>
              <w:bottom w:val="single" w:sz="4" w:space="0" w:color="000000"/>
              <w:right w:val="nil"/>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规范</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规范</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考察各项</w:t>
            </w:r>
            <w:proofErr w:type="gramStart"/>
            <w:r>
              <w:rPr>
                <w:rFonts w:ascii="宋体" w:hAnsi="宋体" w:cs="宋体" w:hint="eastAsia"/>
                <w:color w:val="000000"/>
                <w:sz w:val="15"/>
                <w:szCs w:val="15"/>
              </w:rPr>
              <w:t>目是否</w:t>
            </w:r>
            <w:proofErr w:type="gramEnd"/>
            <w:r>
              <w:rPr>
                <w:rFonts w:ascii="宋体" w:hAnsi="宋体" w:cs="宋体" w:hint="eastAsia"/>
                <w:color w:val="000000"/>
                <w:sz w:val="15"/>
                <w:szCs w:val="15"/>
              </w:rPr>
              <w:t>根据项目管理制度进行分配、支出。出现一例违规事项，扣减10%权重，扣完为止。</w:t>
            </w:r>
          </w:p>
        </w:tc>
      </w:tr>
      <w:tr w:rsidR="000C4654">
        <w:trPr>
          <w:trHeight w:val="45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13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项目管理制度健全性</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0.5</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0.5</w:t>
            </w:r>
          </w:p>
        </w:tc>
        <w:tc>
          <w:tcPr>
            <w:tcW w:w="222" w:type="pct"/>
            <w:tcBorders>
              <w:top w:val="single" w:sz="4" w:space="0" w:color="000000"/>
              <w:left w:val="single" w:sz="4" w:space="0" w:color="000000"/>
              <w:bottom w:val="single" w:sz="4" w:space="0" w:color="000000"/>
              <w:right w:val="nil"/>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健全</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健全</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考察各项</w:t>
            </w:r>
            <w:proofErr w:type="gramStart"/>
            <w:r>
              <w:rPr>
                <w:rFonts w:ascii="宋体" w:hAnsi="宋体" w:cs="宋体" w:hint="eastAsia"/>
                <w:color w:val="000000"/>
                <w:sz w:val="15"/>
                <w:szCs w:val="15"/>
              </w:rPr>
              <w:t>目是否</w:t>
            </w:r>
            <w:proofErr w:type="gramEnd"/>
            <w:r>
              <w:rPr>
                <w:rFonts w:ascii="宋体" w:hAnsi="宋体" w:cs="宋体" w:hint="eastAsia"/>
                <w:color w:val="000000"/>
                <w:sz w:val="15"/>
                <w:szCs w:val="15"/>
              </w:rPr>
              <w:t>建立项目管理办法。根据实际情况酌情打分，评级“健全”、“基本健全”、“一般”、“不健全”，分别得权重分100%、75%、50%、0。</w:t>
            </w:r>
          </w:p>
        </w:tc>
      </w:tr>
      <w:tr w:rsidR="000C4654">
        <w:trPr>
          <w:trHeight w:val="45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130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人员管理</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人员管理制度执行有效</w:t>
            </w:r>
            <w:r>
              <w:rPr>
                <w:rFonts w:ascii="宋体" w:hAnsi="宋体" w:cs="宋体" w:hint="eastAsia"/>
                <w:color w:val="000000"/>
                <w:sz w:val="15"/>
                <w:szCs w:val="15"/>
              </w:rPr>
              <w:lastRenderedPageBreak/>
              <w:t>性</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lastRenderedPageBreak/>
              <w:t>0.5</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0.5</w:t>
            </w:r>
          </w:p>
        </w:tc>
        <w:tc>
          <w:tcPr>
            <w:tcW w:w="222" w:type="pct"/>
            <w:tcBorders>
              <w:top w:val="single" w:sz="4" w:space="0" w:color="000000"/>
              <w:left w:val="single" w:sz="4" w:space="0" w:color="000000"/>
              <w:bottom w:val="single" w:sz="4" w:space="0" w:color="000000"/>
              <w:right w:val="nil"/>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有效</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有效</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考察单位人员管理制度执行效果。根据实际情况酌情打分，评级“有效”、“基本有效”、“一般”、“无效”，分别得权重分100%、75%、50%、0。</w:t>
            </w:r>
          </w:p>
        </w:tc>
      </w:tr>
      <w:tr w:rsidR="000C4654">
        <w:trPr>
          <w:trHeight w:val="27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13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在职人员控制率</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0.5</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0.5</w:t>
            </w:r>
          </w:p>
        </w:tc>
        <w:tc>
          <w:tcPr>
            <w:tcW w:w="222" w:type="pct"/>
            <w:tcBorders>
              <w:top w:val="single" w:sz="4" w:space="0" w:color="000000"/>
              <w:left w:val="single" w:sz="4" w:space="0" w:color="000000"/>
              <w:bottom w:val="single" w:sz="4" w:space="0" w:color="000000"/>
              <w:right w:val="nil"/>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＝100%</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在职人员控制率=年末实有人数/单位编制数。小于100%得满分，超出10%以内得50%权重，超出10%不得分。</w:t>
            </w:r>
          </w:p>
        </w:tc>
      </w:tr>
      <w:tr w:rsidR="000C4654">
        <w:trPr>
          <w:trHeight w:val="45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13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人员管理制度健全性</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0.5</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0.5</w:t>
            </w:r>
          </w:p>
        </w:tc>
        <w:tc>
          <w:tcPr>
            <w:tcW w:w="222" w:type="pct"/>
            <w:tcBorders>
              <w:top w:val="single" w:sz="4" w:space="0" w:color="000000"/>
              <w:left w:val="single" w:sz="4" w:space="0" w:color="000000"/>
              <w:bottom w:val="single" w:sz="4" w:space="0" w:color="000000"/>
              <w:right w:val="nil"/>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健全</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健全</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考察单位是否建立人员管理制度。根据实际情况酌情打分，评级“健全”、“基本健全”、“一般”、“不健全”，分别得权重分100%、75%、50%、0。</w:t>
            </w:r>
          </w:p>
        </w:tc>
      </w:tr>
      <w:tr w:rsidR="000C4654">
        <w:trPr>
          <w:trHeight w:val="45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130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机构建设</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业务学习与培训及时完成率</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0.5</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0.5</w:t>
            </w:r>
          </w:p>
        </w:tc>
        <w:tc>
          <w:tcPr>
            <w:tcW w:w="222" w:type="pct"/>
            <w:tcBorders>
              <w:top w:val="single" w:sz="4" w:space="0" w:color="000000"/>
              <w:left w:val="single" w:sz="4" w:space="0" w:color="000000"/>
              <w:bottom w:val="single" w:sz="4" w:space="0" w:color="000000"/>
              <w:right w:val="nil"/>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＝100%</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考察单位年初计划的业务学习等是否完成。根据实际情况酌情打分，评级“100%”、“80%”、“60%”、“低于60%”，分别得权重分100%、75%、50%、0。</w:t>
            </w:r>
          </w:p>
        </w:tc>
      </w:tr>
      <w:tr w:rsidR="000C4654">
        <w:trPr>
          <w:trHeight w:val="45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13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纪检监察工作有效性</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0.5</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0.5</w:t>
            </w:r>
          </w:p>
        </w:tc>
        <w:tc>
          <w:tcPr>
            <w:tcW w:w="222" w:type="pct"/>
            <w:tcBorders>
              <w:top w:val="single" w:sz="4" w:space="0" w:color="000000"/>
              <w:left w:val="single" w:sz="4" w:space="0" w:color="000000"/>
              <w:bottom w:val="single" w:sz="4" w:space="0" w:color="000000"/>
              <w:right w:val="nil"/>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有效</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有效</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考察单位纪检监察工作开展情况。根据实际情况酌情打分，评级“有效”、“基本有效”、“一般”、“无效”，分别得权重分100%、75%、50%、0。</w:t>
            </w:r>
          </w:p>
        </w:tc>
      </w:tr>
      <w:tr w:rsidR="000C4654">
        <w:trPr>
          <w:trHeight w:val="45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13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组织建设工作及时完成率</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0.5</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0.5</w:t>
            </w:r>
          </w:p>
        </w:tc>
        <w:tc>
          <w:tcPr>
            <w:tcW w:w="222" w:type="pct"/>
            <w:tcBorders>
              <w:top w:val="single" w:sz="4" w:space="0" w:color="000000"/>
              <w:left w:val="single" w:sz="4" w:space="0" w:color="000000"/>
              <w:bottom w:val="single" w:sz="4" w:space="0" w:color="000000"/>
              <w:right w:val="nil"/>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＝100%</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考察组织建设工作年度计划完成情况。根据实际情况酌情打分，评级“100%”、“80%”、“60%”、“低于60%”，分别得权重分100%、75%、50%、0。</w:t>
            </w:r>
          </w:p>
        </w:tc>
      </w:tr>
      <w:tr w:rsidR="000C4654">
        <w:trPr>
          <w:trHeight w:val="450"/>
        </w:trPr>
        <w:tc>
          <w:tcPr>
            <w:tcW w:w="2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履职</w:t>
            </w:r>
            <w:r>
              <w:rPr>
                <w:rFonts w:ascii="宋体" w:hAnsi="宋体" w:cs="宋体" w:hint="eastAsia"/>
                <w:color w:val="000000"/>
                <w:sz w:val="15"/>
                <w:szCs w:val="15"/>
              </w:rPr>
              <w:br/>
              <w:t>（30分）</w:t>
            </w:r>
          </w:p>
        </w:tc>
        <w:tc>
          <w:tcPr>
            <w:tcW w:w="5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协调推进深化医药卫生体制改革，会同有关部门研究提出深化医药卫生体制改革重大部署、政策、措施的建议。组织推动公立医院综合改革，推进管办分离，健全现代医院管理制度，制定并组织实施卫生健康公共服务提供主体多元</w:t>
            </w:r>
            <w:r>
              <w:rPr>
                <w:rFonts w:ascii="宋体" w:hAnsi="宋体" w:cs="宋体" w:hint="eastAsia"/>
                <w:color w:val="000000"/>
                <w:sz w:val="15"/>
                <w:szCs w:val="15"/>
              </w:rPr>
              <w:lastRenderedPageBreak/>
              <w:t>化、提供方式多样化的政策措施，提出医疗服务和药品价格政策的建议。</w:t>
            </w:r>
          </w:p>
        </w:tc>
        <w:tc>
          <w:tcPr>
            <w:tcW w:w="7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lastRenderedPageBreak/>
              <w:t>着力深化医药卫生体制改革。全面做好综合</w:t>
            </w:r>
            <w:proofErr w:type="gramStart"/>
            <w:r>
              <w:rPr>
                <w:rFonts w:ascii="宋体" w:hAnsi="宋体" w:cs="宋体" w:hint="eastAsia"/>
                <w:color w:val="000000"/>
                <w:sz w:val="15"/>
                <w:szCs w:val="15"/>
              </w:rPr>
              <w:t>医改效果</w:t>
            </w:r>
            <w:proofErr w:type="gramEnd"/>
            <w:r>
              <w:rPr>
                <w:rFonts w:ascii="宋体" w:hAnsi="宋体" w:cs="宋体" w:hint="eastAsia"/>
                <w:color w:val="000000"/>
                <w:sz w:val="15"/>
                <w:szCs w:val="15"/>
              </w:rPr>
              <w:t>评价工作，推广三明</w:t>
            </w:r>
            <w:proofErr w:type="gramStart"/>
            <w:r>
              <w:rPr>
                <w:rFonts w:ascii="宋体" w:hAnsi="宋体" w:cs="宋体" w:hint="eastAsia"/>
                <w:color w:val="000000"/>
                <w:sz w:val="15"/>
                <w:szCs w:val="15"/>
              </w:rPr>
              <w:t>医</w:t>
            </w:r>
            <w:proofErr w:type="gramEnd"/>
            <w:r>
              <w:rPr>
                <w:rFonts w:ascii="宋体" w:hAnsi="宋体" w:cs="宋体" w:hint="eastAsia"/>
                <w:color w:val="000000"/>
                <w:sz w:val="15"/>
                <w:szCs w:val="15"/>
              </w:rPr>
              <w:t>改经验，进一步深化“三医”联动。落实试点要求，做好对公立医疗机构改革发展、重大项目、重要事项全过程管理，协同推动公立医院高质量发展。拓宽签约服务筹资渠道，探索重点人群商保签约，规范服务包及签约流程。推动各级公立医疗机构优先配备合理使用基本药物，</w:t>
            </w:r>
            <w:r>
              <w:rPr>
                <w:rFonts w:ascii="宋体" w:hAnsi="宋体" w:cs="宋体" w:hint="eastAsia"/>
                <w:color w:val="000000"/>
                <w:sz w:val="15"/>
                <w:szCs w:val="15"/>
              </w:rPr>
              <w:lastRenderedPageBreak/>
              <w:t>逐步形成以基本药物为主导的“1+X”用药模式。加强临床药事管理，</w:t>
            </w:r>
            <w:proofErr w:type="gramStart"/>
            <w:r>
              <w:rPr>
                <w:rFonts w:ascii="宋体" w:hAnsi="宋体" w:cs="宋体" w:hint="eastAsia"/>
                <w:color w:val="000000"/>
                <w:sz w:val="15"/>
                <w:szCs w:val="15"/>
              </w:rPr>
              <w:t>突出麻精</w:t>
            </w:r>
            <w:proofErr w:type="gramEnd"/>
            <w:r>
              <w:rPr>
                <w:rFonts w:ascii="宋体" w:hAnsi="宋体" w:cs="宋体" w:hint="eastAsia"/>
                <w:color w:val="000000"/>
                <w:sz w:val="15"/>
                <w:szCs w:val="15"/>
              </w:rPr>
              <w:t>药品、抗菌药物、抗肿瘤治疗药、重点监控药品和高值医用耗材合理使用监管。按时间节点推进“双随机、</w:t>
            </w:r>
            <w:proofErr w:type="gramStart"/>
            <w:r>
              <w:rPr>
                <w:rFonts w:ascii="宋体" w:hAnsi="宋体" w:cs="宋体" w:hint="eastAsia"/>
                <w:color w:val="000000"/>
                <w:sz w:val="15"/>
                <w:szCs w:val="15"/>
              </w:rPr>
              <w:t>一</w:t>
            </w:r>
            <w:proofErr w:type="gramEnd"/>
            <w:r>
              <w:rPr>
                <w:rFonts w:ascii="宋体" w:hAnsi="宋体" w:cs="宋体" w:hint="eastAsia"/>
                <w:color w:val="000000"/>
                <w:sz w:val="15"/>
                <w:szCs w:val="15"/>
              </w:rPr>
              <w:t>公开”抽查工作，开展医疗乱象专项治理，组织“卫生监督员进高校”培训。</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lastRenderedPageBreak/>
              <w:t>卫生监督员执法能力</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2</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2</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提升</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提升</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考察卫生监督员执法能力情况。根据实际情况酌情打分，评级“提升”、“未提升”、“下降位”，分别得权重分100%、50%、0。</w:t>
            </w:r>
          </w:p>
        </w:tc>
      </w:tr>
      <w:tr w:rsidR="000C4654">
        <w:trPr>
          <w:trHeight w:val="45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5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7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基层医疗机构基本药物配备使用金额占比</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2</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2</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＞55%</w:t>
            </w:r>
          </w:p>
        </w:tc>
        <w:tc>
          <w:tcPr>
            <w:tcW w:w="4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68.26%</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考察基本药物配备使用金额占比情况，每偏离目标值1%，扣除权重分的5%，扣完为止。</w:t>
            </w:r>
          </w:p>
        </w:tc>
      </w:tr>
      <w:tr w:rsidR="000C4654">
        <w:trPr>
          <w:trHeight w:val="54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5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7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基层医疗机构基本药物配备使用品种占比</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2</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2</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＞55%</w:t>
            </w:r>
          </w:p>
        </w:tc>
        <w:tc>
          <w:tcPr>
            <w:tcW w:w="4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66.06%</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考察基本药物配备使用品种占比情况，每偏离目标值1%，扣除权重分的5%，扣完为止。</w:t>
            </w:r>
          </w:p>
        </w:tc>
      </w:tr>
      <w:tr w:rsidR="000C4654">
        <w:trPr>
          <w:trHeight w:val="54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5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制定并组织落实疾病预防控制规划、免疫规划以及严重危害人民健康公共卫生问题的干预措施。负责卫生应急工作，组织指导全市突发公共卫生事件的预防控制和各类突发公共事件的医疗卫生救援。发布法定报告传染病疫情信息、突发公共卫生事件应急处置信息</w:t>
            </w:r>
          </w:p>
        </w:tc>
        <w:tc>
          <w:tcPr>
            <w:tcW w:w="7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着力提高公共卫生服务能力。强化联防联控、群防群控、多病共防，开展狂犬病、人禽流感、猪链球菌病等人畜共患病源头治理，强化病媒生物监测与风险评估，防范登革热、猴痘等传染病输入，协同教育部门落实学校传染病防控措施。广泛开展血防健康教育，宣传发动群众积极参与血防工作。加大对学校结核病健康宣教力度。开展全市</w:t>
            </w:r>
            <w:proofErr w:type="gramStart"/>
            <w:r>
              <w:rPr>
                <w:rFonts w:ascii="宋体" w:hAnsi="宋体" w:cs="宋体" w:hint="eastAsia"/>
                <w:color w:val="000000"/>
                <w:sz w:val="15"/>
                <w:szCs w:val="15"/>
              </w:rPr>
              <w:t>精防医生</w:t>
            </w:r>
            <w:proofErr w:type="gramEnd"/>
            <w:r>
              <w:rPr>
                <w:rFonts w:ascii="宋体" w:hAnsi="宋体" w:cs="宋体" w:hint="eastAsia"/>
                <w:color w:val="000000"/>
                <w:sz w:val="15"/>
                <w:szCs w:val="15"/>
              </w:rPr>
              <w:t>业务培训，推进鼓楼、雨花台和浦口区社会心理服务体系建设工作。继续做好突发公共卫生事件处置、紧急医学救援和重</w:t>
            </w:r>
            <w:r>
              <w:rPr>
                <w:rFonts w:ascii="宋体" w:hAnsi="宋体" w:cs="宋体" w:hint="eastAsia"/>
                <w:color w:val="000000"/>
                <w:sz w:val="15"/>
                <w:szCs w:val="15"/>
              </w:rPr>
              <w:lastRenderedPageBreak/>
              <w:t>大活动疫情防控及医疗保障，组织应急救治技能竞赛。</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lastRenderedPageBreak/>
              <w:t>传染病和突发公共卫生事件报告率</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2</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2</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≥95%</w:t>
            </w:r>
          </w:p>
        </w:tc>
        <w:tc>
          <w:tcPr>
            <w:tcW w:w="4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100%</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考察传染病和突发公共卫生事件报告情况，每偏离目标值1%，扣除权重分的5%，扣完为止。</w:t>
            </w:r>
          </w:p>
        </w:tc>
      </w:tr>
      <w:tr w:rsidR="000C4654">
        <w:trPr>
          <w:trHeight w:val="675"/>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5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7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重大疫情和传染病突发公共卫生事件调查率、及时处置率</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2</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2</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＝100%</w:t>
            </w:r>
          </w:p>
        </w:tc>
        <w:tc>
          <w:tcPr>
            <w:tcW w:w="4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100%</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重大疫情和传染病突发公共卫生事件调查率、时处置情况，每偏离目标值1%，扣除权重分的5%，扣完为止。</w:t>
            </w:r>
          </w:p>
        </w:tc>
      </w:tr>
      <w:tr w:rsidR="000C4654">
        <w:trPr>
          <w:trHeight w:val="45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5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7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肺结核患者规范管理率</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2</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2</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≥95%</w:t>
            </w:r>
          </w:p>
        </w:tc>
        <w:tc>
          <w:tcPr>
            <w:tcW w:w="4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99.38%</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根据肺结核患者管理情况，按比例得分。超额完成得满分。</w:t>
            </w:r>
          </w:p>
        </w:tc>
      </w:tr>
      <w:tr w:rsidR="000C4654">
        <w:trPr>
          <w:trHeight w:val="54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5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7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适龄儿童口腔检查率</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2</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2</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≥90%</w:t>
            </w:r>
          </w:p>
        </w:tc>
        <w:tc>
          <w:tcPr>
            <w:tcW w:w="4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95.83%</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考察适龄儿童口腔检查情况，每偏离目标值1%，扣除权重分的5%，扣完为止。</w:t>
            </w:r>
          </w:p>
        </w:tc>
      </w:tr>
      <w:tr w:rsidR="000C4654">
        <w:trPr>
          <w:trHeight w:val="54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5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负责健康南京战略协调推进工作，研究提出健康南京建设的政策建议、制度措施和职责分工并协调实施。统筹全市健康促进与健康服务工作。</w:t>
            </w:r>
          </w:p>
        </w:tc>
        <w:tc>
          <w:tcPr>
            <w:tcW w:w="7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着力推进健康南京建设。持续推进</w:t>
            </w:r>
            <w:proofErr w:type="gramStart"/>
            <w:r>
              <w:rPr>
                <w:rFonts w:ascii="宋体" w:hAnsi="宋体" w:cs="宋体" w:hint="eastAsia"/>
                <w:color w:val="000000"/>
                <w:sz w:val="15"/>
                <w:szCs w:val="15"/>
              </w:rPr>
              <w:t>健康区</w:t>
            </w:r>
            <w:proofErr w:type="gramEnd"/>
            <w:r>
              <w:rPr>
                <w:rFonts w:ascii="宋体" w:hAnsi="宋体" w:cs="宋体" w:hint="eastAsia"/>
                <w:color w:val="000000"/>
                <w:sz w:val="15"/>
                <w:szCs w:val="15"/>
              </w:rPr>
              <w:t>街建设，指导秦淮区、栖霞区建设省级健康区。开展健康细胞建设，重点建设健康促进医院、健康主题公园、健康步道、健康驿站等，保证建设质量和使用率。倡导健康生活方式，组织开展工间操、</w:t>
            </w:r>
            <w:proofErr w:type="gramStart"/>
            <w:r>
              <w:rPr>
                <w:rFonts w:ascii="宋体" w:hAnsi="宋体" w:cs="宋体" w:hint="eastAsia"/>
                <w:color w:val="000000"/>
                <w:sz w:val="15"/>
                <w:szCs w:val="15"/>
              </w:rPr>
              <w:t>健骨操比赛</w:t>
            </w:r>
            <w:proofErr w:type="gramEnd"/>
            <w:r>
              <w:rPr>
                <w:rFonts w:ascii="宋体" w:hAnsi="宋体" w:cs="宋体" w:hint="eastAsia"/>
                <w:color w:val="000000"/>
                <w:sz w:val="15"/>
                <w:szCs w:val="15"/>
              </w:rPr>
              <w:t>，促进在职人群体育制度化、常态化。深入开展爱国卫生运动，做好迎接国家卫生城市第5次复审工作，实现国家</w:t>
            </w:r>
            <w:proofErr w:type="gramStart"/>
            <w:r>
              <w:rPr>
                <w:rFonts w:ascii="宋体" w:hAnsi="宋体" w:cs="宋体" w:hint="eastAsia"/>
                <w:color w:val="000000"/>
                <w:sz w:val="15"/>
                <w:szCs w:val="15"/>
              </w:rPr>
              <w:t>卫生镇全覆盖</w:t>
            </w:r>
            <w:proofErr w:type="gramEnd"/>
            <w:r>
              <w:rPr>
                <w:rFonts w:ascii="宋体" w:hAnsi="宋体" w:cs="宋体" w:hint="eastAsia"/>
                <w:color w:val="000000"/>
                <w:sz w:val="15"/>
                <w:szCs w:val="15"/>
              </w:rPr>
              <w:t>、省级</w:t>
            </w:r>
            <w:proofErr w:type="gramStart"/>
            <w:r>
              <w:rPr>
                <w:rFonts w:ascii="宋体" w:hAnsi="宋体" w:cs="宋体" w:hint="eastAsia"/>
                <w:color w:val="000000"/>
                <w:sz w:val="15"/>
                <w:szCs w:val="15"/>
              </w:rPr>
              <w:t>卫生村全覆盖</w:t>
            </w:r>
            <w:proofErr w:type="gramEnd"/>
            <w:r>
              <w:rPr>
                <w:rFonts w:ascii="宋体" w:hAnsi="宋体" w:cs="宋体" w:hint="eastAsia"/>
                <w:color w:val="000000"/>
                <w:sz w:val="15"/>
                <w:szCs w:val="15"/>
              </w:rPr>
              <w:t>。深化无烟环境建设。</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省级</w:t>
            </w:r>
            <w:proofErr w:type="gramStart"/>
            <w:r>
              <w:rPr>
                <w:rFonts w:ascii="宋体" w:hAnsi="宋体" w:cs="宋体" w:hint="eastAsia"/>
                <w:color w:val="000000"/>
                <w:sz w:val="15"/>
                <w:szCs w:val="15"/>
              </w:rPr>
              <w:t>健康区</w:t>
            </w:r>
            <w:proofErr w:type="gramEnd"/>
            <w:r>
              <w:rPr>
                <w:rFonts w:ascii="宋体" w:hAnsi="宋体" w:cs="宋体" w:hint="eastAsia"/>
                <w:color w:val="000000"/>
                <w:sz w:val="15"/>
                <w:szCs w:val="15"/>
              </w:rPr>
              <w:t>建成率</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2</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2</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≥80%</w:t>
            </w:r>
          </w:p>
        </w:tc>
        <w:tc>
          <w:tcPr>
            <w:tcW w:w="4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100.0%</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考察省级</w:t>
            </w:r>
            <w:proofErr w:type="gramStart"/>
            <w:r>
              <w:rPr>
                <w:rFonts w:ascii="宋体" w:hAnsi="宋体" w:cs="宋体" w:hint="eastAsia"/>
                <w:color w:val="000000"/>
                <w:sz w:val="15"/>
                <w:szCs w:val="15"/>
              </w:rPr>
              <w:t>健康区</w:t>
            </w:r>
            <w:proofErr w:type="gramEnd"/>
            <w:r>
              <w:rPr>
                <w:rFonts w:ascii="宋体" w:hAnsi="宋体" w:cs="宋体" w:hint="eastAsia"/>
                <w:color w:val="000000"/>
                <w:sz w:val="15"/>
                <w:szCs w:val="15"/>
              </w:rPr>
              <w:t>建成情况，每偏离目标值1%，扣除权重分的5%，扣完为止。</w:t>
            </w:r>
          </w:p>
        </w:tc>
      </w:tr>
      <w:tr w:rsidR="000C4654">
        <w:trPr>
          <w:trHeight w:val="27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5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7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955530">
            <w:pPr>
              <w:jc w:val="center"/>
              <w:textAlignment w:val="center"/>
              <w:rPr>
                <w:rFonts w:ascii="宋体" w:hAnsi="宋体" w:cs="宋体"/>
                <w:color w:val="000000"/>
                <w:sz w:val="15"/>
                <w:szCs w:val="15"/>
              </w:rPr>
            </w:pPr>
            <w:r>
              <w:rPr>
                <w:rFonts w:ascii="宋体" w:hAnsi="宋体" w:cs="宋体" w:hint="eastAsia"/>
                <w:color w:val="000000"/>
                <w:sz w:val="15"/>
                <w:szCs w:val="15"/>
              </w:rPr>
              <w:t>病媒生物防治</w:t>
            </w:r>
            <w:proofErr w:type="gramStart"/>
            <w:r w:rsidR="002321B0">
              <w:rPr>
                <w:rFonts w:ascii="宋体" w:hAnsi="宋体" w:cs="宋体" w:hint="eastAsia"/>
                <w:color w:val="000000"/>
                <w:sz w:val="15"/>
                <w:szCs w:val="15"/>
              </w:rPr>
              <w:t>区数量</w:t>
            </w:r>
            <w:proofErr w:type="gramEnd"/>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2</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2.00</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＝11个</w:t>
            </w:r>
          </w:p>
        </w:tc>
        <w:tc>
          <w:tcPr>
            <w:tcW w:w="4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11</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3447E3">
            <w:pPr>
              <w:jc w:val="left"/>
              <w:textAlignment w:val="center"/>
              <w:rPr>
                <w:rFonts w:ascii="宋体" w:hAnsi="宋体" w:cs="宋体"/>
                <w:color w:val="000000"/>
                <w:sz w:val="15"/>
                <w:szCs w:val="15"/>
              </w:rPr>
            </w:pPr>
            <w:r>
              <w:rPr>
                <w:rFonts w:ascii="宋体" w:hAnsi="宋体" w:cs="宋体" w:hint="eastAsia"/>
                <w:color w:val="000000"/>
                <w:sz w:val="15"/>
                <w:szCs w:val="15"/>
              </w:rPr>
              <w:t>考察病媒生物防治</w:t>
            </w:r>
            <w:r w:rsidR="002321B0">
              <w:rPr>
                <w:rFonts w:ascii="宋体" w:hAnsi="宋体" w:cs="宋体" w:hint="eastAsia"/>
                <w:color w:val="000000"/>
                <w:sz w:val="15"/>
                <w:szCs w:val="15"/>
              </w:rPr>
              <w:t>区情况，按完成数量比例得分。超额完成得满分。</w:t>
            </w:r>
          </w:p>
        </w:tc>
      </w:tr>
      <w:tr w:rsidR="000C4654">
        <w:trPr>
          <w:trHeight w:val="54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5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指导全市基层卫生健康工作，推进基层医疗卫生、妇幼健康服务体系和全科医生队伍建设。</w:t>
            </w:r>
          </w:p>
        </w:tc>
        <w:tc>
          <w:tcPr>
            <w:tcW w:w="7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继续开展城乡适龄妇女免费“两癌”检查，做细在校适龄女生HPV疫苗免费接种工作；推进普</w:t>
            </w:r>
            <w:proofErr w:type="gramStart"/>
            <w:r>
              <w:rPr>
                <w:rFonts w:ascii="宋体" w:hAnsi="宋体" w:cs="宋体" w:hint="eastAsia"/>
                <w:color w:val="000000"/>
                <w:sz w:val="15"/>
                <w:szCs w:val="15"/>
              </w:rPr>
              <w:t>惠托育机构</w:t>
            </w:r>
            <w:proofErr w:type="gramEnd"/>
            <w:r>
              <w:rPr>
                <w:rFonts w:ascii="宋体" w:hAnsi="宋体" w:cs="宋体" w:hint="eastAsia"/>
                <w:color w:val="000000"/>
                <w:sz w:val="15"/>
                <w:szCs w:val="15"/>
              </w:rPr>
              <w:t>建设；加强出生缺陷综合防治，实现产前筛查、新生儿疾病筛查全覆盖。加强基层卫生人才队伍建设，拓宽基层卫生人才引进渠道，优化基层卫生人才配置和</w:t>
            </w:r>
            <w:r>
              <w:rPr>
                <w:rFonts w:ascii="宋体" w:hAnsi="宋体" w:cs="宋体" w:hint="eastAsia"/>
                <w:color w:val="000000"/>
                <w:sz w:val="15"/>
                <w:szCs w:val="15"/>
              </w:rPr>
              <w:lastRenderedPageBreak/>
              <w:t>管理方式。</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lastRenderedPageBreak/>
              <w:t>妇女宫颈癌</w:t>
            </w:r>
            <w:proofErr w:type="gramStart"/>
            <w:r>
              <w:rPr>
                <w:rFonts w:ascii="宋体" w:hAnsi="宋体" w:cs="宋体" w:hint="eastAsia"/>
                <w:color w:val="000000"/>
                <w:sz w:val="15"/>
                <w:szCs w:val="15"/>
              </w:rPr>
              <w:t>早诊率</w:t>
            </w:r>
            <w:proofErr w:type="gramEnd"/>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2</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2</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≥90%</w:t>
            </w:r>
          </w:p>
        </w:tc>
        <w:tc>
          <w:tcPr>
            <w:tcW w:w="4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96.54%</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根据妇女宫颈癌筛查情况，按完成数量比例得分。超额完成得满分。</w:t>
            </w:r>
          </w:p>
        </w:tc>
      </w:tr>
      <w:tr w:rsidR="000C4654">
        <w:trPr>
          <w:trHeight w:val="54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5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7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妇女乳腺癌</w:t>
            </w:r>
            <w:proofErr w:type="gramStart"/>
            <w:r>
              <w:rPr>
                <w:rFonts w:ascii="宋体" w:hAnsi="宋体" w:cs="宋体" w:hint="eastAsia"/>
                <w:color w:val="000000"/>
                <w:sz w:val="15"/>
                <w:szCs w:val="15"/>
              </w:rPr>
              <w:t>早诊率</w:t>
            </w:r>
            <w:proofErr w:type="gramEnd"/>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2</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2</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≥80%</w:t>
            </w:r>
          </w:p>
        </w:tc>
        <w:tc>
          <w:tcPr>
            <w:tcW w:w="4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82.56%</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根据乳腺癌筛查情况，按完成数量比例得分。超额完成得满分。</w:t>
            </w:r>
          </w:p>
        </w:tc>
      </w:tr>
      <w:tr w:rsidR="000C4654">
        <w:trPr>
          <w:trHeight w:val="96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5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7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proofErr w:type="gramStart"/>
            <w:r>
              <w:rPr>
                <w:rFonts w:ascii="宋体" w:hAnsi="宋体" w:cs="宋体" w:hint="eastAsia"/>
                <w:color w:val="000000"/>
                <w:sz w:val="15"/>
                <w:szCs w:val="15"/>
              </w:rPr>
              <w:t>孕</w:t>
            </w:r>
            <w:proofErr w:type="gramEnd"/>
            <w:r>
              <w:rPr>
                <w:rFonts w:ascii="宋体" w:hAnsi="宋体" w:cs="宋体" w:hint="eastAsia"/>
                <w:color w:val="000000"/>
                <w:sz w:val="15"/>
                <w:szCs w:val="15"/>
              </w:rPr>
              <w:t>产妇产前筛查、新生儿疾病筛查</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2</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2</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≥98%</w:t>
            </w:r>
          </w:p>
        </w:tc>
        <w:tc>
          <w:tcPr>
            <w:tcW w:w="4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99%</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根据</w:t>
            </w:r>
            <w:proofErr w:type="gramStart"/>
            <w:r>
              <w:rPr>
                <w:rFonts w:ascii="宋体" w:hAnsi="宋体" w:cs="宋体" w:hint="eastAsia"/>
                <w:color w:val="000000"/>
                <w:sz w:val="15"/>
                <w:szCs w:val="15"/>
              </w:rPr>
              <w:t>孕</w:t>
            </w:r>
            <w:proofErr w:type="gramEnd"/>
            <w:r>
              <w:rPr>
                <w:rFonts w:ascii="宋体" w:hAnsi="宋体" w:cs="宋体" w:hint="eastAsia"/>
                <w:color w:val="000000"/>
                <w:sz w:val="15"/>
                <w:szCs w:val="15"/>
              </w:rPr>
              <w:t>产妇产前筛查、新生儿疾病筛查情况，按完成数量比例得分。超额完成得满分。</w:t>
            </w:r>
          </w:p>
        </w:tc>
      </w:tr>
      <w:tr w:rsidR="000C4654">
        <w:trPr>
          <w:trHeight w:val="54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5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拟订全市卫生健康科技发展规划，组织实施卫生健康相关科研项目。推进卫生健康科技创新发展。</w:t>
            </w:r>
          </w:p>
        </w:tc>
        <w:tc>
          <w:tcPr>
            <w:tcW w:w="7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着力增强卫生科教创新和人才队伍建设水平。以高层次人才（院士）战略为抓手，引领培育学术顶尖人才和一流创新团队，大力提升南京卫生的学术影响力和核心竞争力。一体推进省级医学创新中心、医学重点学科，市级临床医学中心、临床医学研究中心等建设，重点支持优势学科创建国家级创新平台，打造医学高峰。</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医师规范化培训合格率</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3</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3</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≥90%</w:t>
            </w:r>
          </w:p>
        </w:tc>
        <w:tc>
          <w:tcPr>
            <w:tcW w:w="4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95.90%</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4275B1">
            <w:pPr>
              <w:jc w:val="left"/>
              <w:textAlignment w:val="center"/>
              <w:rPr>
                <w:rFonts w:ascii="宋体" w:hAnsi="宋体" w:cs="宋体"/>
                <w:color w:val="000000"/>
                <w:sz w:val="15"/>
                <w:szCs w:val="15"/>
              </w:rPr>
            </w:pPr>
            <w:r>
              <w:rPr>
                <w:rFonts w:ascii="宋体" w:hAnsi="宋体" w:cs="宋体" w:hint="eastAsia"/>
                <w:color w:val="000000"/>
                <w:sz w:val="15"/>
                <w:szCs w:val="15"/>
              </w:rPr>
              <w:t>根据当年</w:t>
            </w:r>
            <w:r w:rsidR="002321B0">
              <w:rPr>
                <w:rFonts w:ascii="宋体" w:hAnsi="宋体" w:cs="宋体" w:hint="eastAsia"/>
                <w:color w:val="000000"/>
                <w:sz w:val="15"/>
                <w:szCs w:val="15"/>
              </w:rPr>
              <w:t>实际参加培训人数的合格率，按比例得分。超额完成得满分。</w:t>
            </w:r>
          </w:p>
        </w:tc>
      </w:tr>
      <w:tr w:rsidR="000C4654">
        <w:trPr>
          <w:trHeight w:val="450"/>
        </w:trPr>
        <w:tc>
          <w:tcPr>
            <w:tcW w:w="2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5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7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科技成果转化</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3</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3</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增长</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增长</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统计年度内科技成果实现市场转化的数量。已签订协议为准，与前一年科技成果转化数量比较是否有增长，完成增长得满分，每少1个成果转化扣0.5分。</w:t>
            </w:r>
          </w:p>
        </w:tc>
      </w:tr>
      <w:tr w:rsidR="000C4654">
        <w:trPr>
          <w:trHeight w:val="540"/>
        </w:trPr>
        <w:tc>
          <w:tcPr>
            <w:tcW w:w="222" w:type="pct"/>
            <w:vMerge w:val="restart"/>
            <w:tcBorders>
              <w:top w:val="single" w:sz="4" w:space="0" w:color="000000"/>
              <w:left w:val="single" w:sz="4" w:space="0" w:color="000000"/>
              <w:bottom w:val="nil"/>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效益</w:t>
            </w:r>
            <w:r>
              <w:rPr>
                <w:rFonts w:ascii="宋体" w:hAnsi="宋体" w:cs="宋体" w:hint="eastAsia"/>
                <w:color w:val="000000"/>
                <w:sz w:val="15"/>
                <w:szCs w:val="15"/>
              </w:rPr>
              <w:br/>
              <w:t>（35分）</w:t>
            </w:r>
          </w:p>
        </w:tc>
        <w:tc>
          <w:tcPr>
            <w:tcW w:w="13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社会效益</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居民健康素养水平</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15</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15</w:t>
            </w:r>
          </w:p>
        </w:tc>
        <w:tc>
          <w:tcPr>
            <w:tcW w:w="222" w:type="pct"/>
            <w:tcBorders>
              <w:top w:val="single" w:sz="4" w:space="0" w:color="000000"/>
              <w:left w:val="single" w:sz="4" w:space="0" w:color="000000"/>
              <w:bottom w:val="single" w:sz="4" w:space="0" w:color="000000"/>
              <w:right w:val="nil"/>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≥34%</w:t>
            </w:r>
          </w:p>
        </w:tc>
        <w:tc>
          <w:tcPr>
            <w:tcW w:w="4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44.3%</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根据居民健康素养水平情况，每偏离目标值1%，扣除权重分的5%，扣完为止。</w:t>
            </w:r>
          </w:p>
        </w:tc>
      </w:tr>
      <w:tr w:rsidR="000C4654">
        <w:trPr>
          <w:trHeight w:val="450"/>
        </w:trPr>
        <w:tc>
          <w:tcPr>
            <w:tcW w:w="222" w:type="pct"/>
            <w:vMerge/>
            <w:tcBorders>
              <w:top w:val="single" w:sz="4" w:space="0" w:color="000000"/>
              <w:left w:val="single" w:sz="4" w:space="0" w:color="000000"/>
              <w:bottom w:val="nil"/>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1304" w:type="pct"/>
            <w:gridSpan w:val="2"/>
            <w:vMerge w:val="restart"/>
            <w:tcBorders>
              <w:top w:val="single" w:sz="4" w:space="0" w:color="000000"/>
              <w:left w:val="single" w:sz="4" w:space="0" w:color="000000"/>
              <w:bottom w:val="nil"/>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服务对象满意度</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基本</w:t>
            </w:r>
            <w:proofErr w:type="gramStart"/>
            <w:r>
              <w:rPr>
                <w:rFonts w:ascii="宋体" w:hAnsi="宋体" w:cs="宋体" w:hint="eastAsia"/>
                <w:color w:val="000000"/>
                <w:sz w:val="15"/>
                <w:szCs w:val="15"/>
              </w:rPr>
              <w:t>公卫服务</w:t>
            </w:r>
            <w:proofErr w:type="gramEnd"/>
            <w:r>
              <w:rPr>
                <w:rFonts w:ascii="宋体" w:hAnsi="宋体" w:cs="宋体" w:hint="eastAsia"/>
                <w:color w:val="000000"/>
                <w:sz w:val="15"/>
                <w:szCs w:val="15"/>
              </w:rPr>
              <w:t>居民知晓度</w:t>
            </w:r>
          </w:p>
        </w:tc>
        <w:tc>
          <w:tcPr>
            <w:tcW w:w="281" w:type="pct"/>
            <w:tcBorders>
              <w:top w:val="single" w:sz="4" w:space="0" w:color="000000"/>
              <w:left w:val="single" w:sz="4" w:space="0" w:color="000000"/>
              <w:bottom w:val="nil"/>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10</w:t>
            </w:r>
          </w:p>
        </w:tc>
        <w:tc>
          <w:tcPr>
            <w:tcW w:w="222" w:type="pct"/>
            <w:tcBorders>
              <w:top w:val="single" w:sz="4" w:space="0" w:color="000000"/>
              <w:left w:val="single" w:sz="4" w:space="0" w:color="000000"/>
              <w:bottom w:val="nil"/>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10</w:t>
            </w:r>
          </w:p>
        </w:tc>
        <w:tc>
          <w:tcPr>
            <w:tcW w:w="222" w:type="pct"/>
            <w:tcBorders>
              <w:top w:val="single" w:sz="4" w:space="0" w:color="000000"/>
              <w:left w:val="single" w:sz="4" w:space="0" w:color="000000"/>
              <w:bottom w:val="nil"/>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≥90%</w:t>
            </w:r>
          </w:p>
        </w:tc>
        <w:tc>
          <w:tcPr>
            <w:tcW w:w="406" w:type="pct"/>
            <w:tcBorders>
              <w:top w:val="single" w:sz="4" w:space="0" w:color="000000"/>
              <w:left w:val="single" w:sz="4" w:space="0" w:color="000000"/>
              <w:bottom w:val="nil"/>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90.33%</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考察居民知晓度情况，每偏离目标值1%，扣除权重分的5%，扣完为止。</w:t>
            </w:r>
          </w:p>
        </w:tc>
      </w:tr>
      <w:tr w:rsidR="000C4654">
        <w:trPr>
          <w:trHeight w:val="540"/>
        </w:trPr>
        <w:tc>
          <w:tcPr>
            <w:tcW w:w="222" w:type="pct"/>
            <w:vMerge/>
            <w:tcBorders>
              <w:top w:val="single" w:sz="4" w:space="0" w:color="000000"/>
              <w:left w:val="single" w:sz="4" w:space="0" w:color="000000"/>
              <w:bottom w:val="nil"/>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1304" w:type="pct"/>
            <w:gridSpan w:val="2"/>
            <w:vMerge/>
            <w:tcBorders>
              <w:top w:val="single" w:sz="4" w:space="0" w:color="000000"/>
              <w:left w:val="single" w:sz="4" w:space="0" w:color="000000"/>
              <w:bottom w:val="nil"/>
              <w:right w:val="single" w:sz="4" w:space="0" w:color="000000"/>
            </w:tcBorders>
            <w:shd w:val="clear" w:color="auto" w:fill="auto"/>
            <w:vAlign w:val="center"/>
          </w:tcPr>
          <w:p w:rsidR="000C4654" w:rsidRDefault="000C4654">
            <w:pPr>
              <w:jc w:val="center"/>
              <w:rPr>
                <w:rFonts w:ascii="宋体" w:hAnsi="宋体" w:cs="宋体"/>
                <w:color w:val="000000"/>
                <w:sz w:val="15"/>
                <w:szCs w:val="15"/>
              </w:rPr>
            </w:pPr>
          </w:p>
        </w:tc>
        <w:tc>
          <w:tcPr>
            <w:tcW w:w="380" w:type="pct"/>
            <w:tcBorders>
              <w:top w:val="single" w:sz="4" w:space="0" w:color="000000"/>
              <w:left w:val="single" w:sz="4" w:space="0" w:color="000000"/>
              <w:bottom w:val="nil"/>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基本</w:t>
            </w:r>
            <w:proofErr w:type="gramStart"/>
            <w:r>
              <w:rPr>
                <w:rFonts w:ascii="宋体" w:hAnsi="宋体" w:cs="宋体" w:hint="eastAsia"/>
                <w:color w:val="000000"/>
                <w:sz w:val="15"/>
                <w:szCs w:val="15"/>
              </w:rPr>
              <w:t>公卫服务</w:t>
            </w:r>
            <w:proofErr w:type="gramEnd"/>
            <w:r>
              <w:rPr>
                <w:rFonts w:ascii="宋体" w:hAnsi="宋体" w:cs="宋体" w:hint="eastAsia"/>
                <w:color w:val="000000"/>
                <w:sz w:val="15"/>
                <w:szCs w:val="15"/>
              </w:rPr>
              <w:t>居民满意度</w:t>
            </w:r>
          </w:p>
        </w:tc>
        <w:tc>
          <w:tcPr>
            <w:tcW w:w="281" w:type="pct"/>
            <w:tcBorders>
              <w:top w:val="single" w:sz="4" w:space="0" w:color="000000"/>
              <w:left w:val="single" w:sz="4" w:space="0" w:color="000000"/>
              <w:bottom w:val="nil"/>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10</w:t>
            </w:r>
          </w:p>
        </w:tc>
        <w:tc>
          <w:tcPr>
            <w:tcW w:w="222" w:type="pct"/>
            <w:tcBorders>
              <w:top w:val="single" w:sz="4" w:space="0" w:color="000000"/>
              <w:left w:val="single" w:sz="4" w:space="0" w:color="000000"/>
              <w:bottom w:val="nil"/>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10</w:t>
            </w:r>
          </w:p>
        </w:tc>
        <w:tc>
          <w:tcPr>
            <w:tcW w:w="222" w:type="pct"/>
            <w:tcBorders>
              <w:top w:val="single" w:sz="4" w:space="0" w:color="000000"/>
              <w:left w:val="single" w:sz="4" w:space="0" w:color="000000"/>
              <w:bottom w:val="nil"/>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≥90%</w:t>
            </w:r>
          </w:p>
        </w:tc>
        <w:tc>
          <w:tcPr>
            <w:tcW w:w="406" w:type="pct"/>
            <w:tcBorders>
              <w:top w:val="single" w:sz="4" w:space="0" w:color="000000"/>
              <w:left w:val="single" w:sz="4" w:space="0" w:color="000000"/>
              <w:bottom w:val="nil"/>
              <w:right w:val="single" w:sz="4" w:space="0" w:color="000000"/>
            </w:tcBorders>
            <w:shd w:val="clear" w:color="auto" w:fill="auto"/>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90.07%</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2321B0">
            <w:pPr>
              <w:jc w:val="left"/>
              <w:textAlignment w:val="center"/>
              <w:rPr>
                <w:rFonts w:ascii="宋体" w:hAnsi="宋体" w:cs="宋体"/>
                <w:color w:val="000000"/>
                <w:sz w:val="15"/>
                <w:szCs w:val="15"/>
              </w:rPr>
            </w:pPr>
            <w:r>
              <w:rPr>
                <w:rFonts w:ascii="宋体" w:hAnsi="宋体" w:cs="宋体" w:hint="eastAsia"/>
                <w:color w:val="000000"/>
                <w:sz w:val="15"/>
                <w:szCs w:val="15"/>
              </w:rPr>
              <w:t>考察居民满意度情况，每偏离目标值1%，扣除权重分的5%，扣完为止。</w:t>
            </w:r>
          </w:p>
        </w:tc>
      </w:tr>
      <w:tr w:rsidR="000C4654">
        <w:trPr>
          <w:trHeight w:val="700"/>
        </w:trPr>
        <w:tc>
          <w:tcPr>
            <w:tcW w:w="1908"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0C4654" w:rsidRDefault="002321B0">
            <w:pPr>
              <w:jc w:val="center"/>
              <w:textAlignment w:val="center"/>
              <w:rPr>
                <w:rFonts w:ascii="宋体" w:hAnsi="宋体" w:cs="宋体"/>
                <w:color w:val="000000"/>
                <w:sz w:val="15"/>
                <w:szCs w:val="15"/>
              </w:rPr>
            </w:pPr>
            <w:r>
              <w:rPr>
                <w:rFonts w:ascii="宋体" w:hAnsi="宋体" w:cs="宋体" w:hint="eastAsia"/>
                <w:color w:val="000000"/>
                <w:sz w:val="15"/>
                <w:szCs w:val="15"/>
              </w:rPr>
              <w:t>合计</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C4654" w:rsidRDefault="002321B0">
            <w:pPr>
              <w:jc w:val="right"/>
              <w:textAlignment w:val="center"/>
              <w:rPr>
                <w:rFonts w:ascii="宋体" w:hAnsi="宋体" w:cs="宋体"/>
                <w:color w:val="000000"/>
                <w:sz w:val="15"/>
                <w:szCs w:val="15"/>
              </w:rPr>
            </w:pPr>
            <w:r>
              <w:rPr>
                <w:rFonts w:ascii="宋体" w:hAnsi="宋体" w:cs="宋体" w:hint="eastAsia"/>
                <w:color w:val="000000"/>
                <w:sz w:val="15"/>
                <w:szCs w:val="15"/>
              </w:rPr>
              <w:t>100</w:t>
            </w: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C4654" w:rsidRDefault="002321B0">
            <w:pPr>
              <w:jc w:val="right"/>
              <w:textAlignment w:val="center"/>
              <w:rPr>
                <w:rFonts w:ascii="宋体" w:hAnsi="宋体" w:cs="宋体"/>
                <w:color w:val="000000"/>
                <w:sz w:val="15"/>
                <w:szCs w:val="15"/>
              </w:rPr>
            </w:pPr>
            <w:r>
              <w:rPr>
                <w:rFonts w:ascii="宋体" w:hAnsi="宋体" w:cs="宋体" w:hint="eastAsia"/>
                <w:color w:val="000000"/>
                <w:sz w:val="15"/>
                <w:szCs w:val="15"/>
              </w:rPr>
              <w:t>99.18</w:t>
            </w: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C4654" w:rsidRDefault="000C4654">
            <w:pPr>
              <w:rPr>
                <w:rFonts w:ascii="宋体" w:hAnsi="宋体" w:cs="宋体"/>
                <w:color w:val="000000"/>
                <w:sz w:val="15"/>
                <w:szCs w:val="15"/>
              </w:rPr>
            </w:pPr>
          </w:p>
        </w:tc>
        <w:tc>
          <w:tcPr>
            <w:tcW w:w="4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C4654" w:rsidRDefault="000C4654">
            <w:pPr>
              <w:rPr>
                <w:rFonts w:ascii="宋体" w:hAnsi="宋体" w:cs="宋体"/>
                <w:color w:val="000000"/>
                <w:sz w:val="15"/>
                <w:szCs w:val="15"/>
              </w:rPr>
            </w:pP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4654" w:rsidRDefault="000C4654">
            <w:pPr>
              <w:rPr>
                <w:rFonts w:ascii="宋体" w:hAnsi="宋体" w:cs="宋体"/>
                <w:color w:val="000000"/>
                <w:sz w:val="15"/>
                <w:szCs w:val="15"/>
              </w:rPr>
            </w:pPr>
          </w:p>
        </w:tc>
      </w:tr>
    </w:tbl>
    <w:p w:rsidR="000C4654" w:rsidRDefault="000C4654">
      <w:pPr>
        <w:pStyle w:val="a7"/>
        <w:ind w:firstLineChars="0" w:firstLine="0"/>
      </w:pPr>
      <w:bookmarkStart w:id="17" w:name="_GoBack"/>
      <w:bookmarkEnd w:id="17"/>
    </w:p>
    <w:sectPr w:rsidR="000C4654" w:rsidSect="000C4654">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654" w:rsidRDefault="000C4654" w:rsidP="000C4654">
      <w:r>
        <w:separator/>
      </w:r>
    </w:p>
  </w:endnote>
  <w:endnote w:type="continuationSeparator" w:id="1">
    <w:p w:rsidR="000C4654" w:rsidRDefault="000C4654" w:rsidP="000C46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654" w:rsidRDefault="002321B0">
      <w:r>
        <w:separator/>
      </w:r>
    </w:p>
  </w:footnote>
  <w:footnote w:type="continuationSeparator" w:id="1">
    <w:p w:rsidR="000C4654" w:rsidRDefault="002321B0">
      <w:r>
        <w:continuationSeparator/>
      </w:r>
    </w:p>
  </w:footnote>
  <w:footnote w:id="2">
    <w:p w:rsidR="000C4654" w:rsidRDefault="002321B0">
      <w:pPr>
        <w:pStyle w:val="a5"/>
      </w:pPr>
      <w:r>
        <w:rPr>
          <w:rStyle w:val="aa"/>
          <w:rFonts w:hint="eastAsia"/>
        </w:rPr>
        <w:t>【</w:t>
      </w:r>
      <w:r>
        <w:rPr>
          <w:rStyle w:val="aa"/>
          <w:rFonts w:hint="eastAsia"/>
        </w:rPr>
        <w:t>1</w:t>
      </w:r>
      <w:r>
        <w:rPr>
          <w:rStyle w:val="aa"/>
          <w:rFonts w:hint="eastAsia"/>
        </w:rPr>
        <w:t>】</w:t>
      </w:r>
      <w:r>
        <w:rPr>
          <w:rFonts w:hint="eastAsia"/>
        </w:rPr>
        <w:t>如无特殊说明，均为年度财务决算数据，以下同。</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13DC18"/>
    <w:multiLevelType w:val="singleLevel"/>
    <w:tmpl w:val="A113DC18"/>
    <w:lvl w:ilvl="0">
      <w:start w:val="1"/>
      <w:numFmt w:val="chineseCounting"/>
      <w:suff w:val="nothing"/>
      <w:lvlText w:val="（%1）"/>
      <w:lvlJc w:val="left"/>
      <w:rPr>
        <w:rFonts w:hint="eastAsia"/>
      </w:rPr>
    </w:lvl>
  </w:abstractNum>
  <w:abstractNum w:abstractNumId="1">
    <w:nsid w:val="B840E435"/>
    <w:multiLevelType w:val="singleLevel"/>
    <w:tmpl w:val="B840E435"/>
    <w:lvl w:ilvl="0">
      <w:start w:val="3"/>
      <w:numFmt w:val="chineseCounting"/>
      <w:suff w:val="nothing"/>
      <w:lvlText w:val="%1、"/>
      <w:lvlJc w:val="left"/>
      <w:rPr>
        <w:rFonts w:hint="eastAsia"/>
      </w:rPr>
    </w:lvl>
  </w:abstractNum>
  <w:abstractNum w:abstractNumId="2">
    <w:nsid w:val="DDF1CFE6"/>
    <w:multiLevelType w:val="singleLevel"/>
    <w:tmpl w:val="DDF1CFE6"/>
    <w:lvl w:ilvl="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Tg2M2Y0YzJlMDZjOTZlYjQyY2FmMjQ5N2ZkMDEwMDcifQ=="/>
  </w:docVars>
  <w:rsids>
    <w:rsidRoot w:val="0E884DBF"/>
    <w:rsid w:val="00007BA1"/>
    <w:rsid w:val="000246F2"/>
    <w:rsid w:val="000C4654"/>
    <w:rsid w:val="000D5413"/>
    <w:rsid w:val="000F6BF3"/>
    <w:rsid w:val="001B1808"/>
    <w:rsid w:val="002206B3"/>
    <w:rsid w:val="002321B0"/>
    <w:rsid w:val="00254ACA"/>
    <w:rsid w:val="00262060"/>
    <w:rsid w:val="002D27F3"/>
    <w:rsid w:val="002F59B1"/>
    <w:rsid w:val="0031432B"/>
    <w:rsid w:val="003446C1"/>
    <w:rsid w:val="003447E3"/>
    <w:rsid w:val="00405546"/>
    <w:rsid w:val="0042480E"/>
    <w:rsid w:val="004275B1"/>
    <w:rsid w:val="004B6BA6"/>
    <w:rsid w:val="0057284E"/>
    <w:rsid w:val="005E20C1"/>
    <w:rsid w:val="00640182"/>
    <w:rsid w:val="00670A87"/>
    <w:rsid w:val="00680335"/>
    <w:rsid w:val="00695A79"/>
    <w:rsid w:val="00731EDA"/>
    <w:rsid w:val="007B1F52"/>
    <w:rsid w:val="00800151"/>
    <w:rsid w:val="008141DB"/>
    <w:rsid w:val="00815359"/>
    <w:rsid w:val="0081775B"/>
    <w:rsid w:val="008A0550"/>
    <w:rsid w:val="008F1794"/>
    <w:rsid w:val="00920AD0"/>
    <w:rsid w:val="00920B9F"/>
    <w:rsid w:val="00921310"/>
    <w:rsid w:val="00945312"/>
    <w:rsid w:val="00955530"/>
    <w:rsid w:val="00A51A83"/>
    <w:rsid w:val="00A862D2"/>
    <w:rsid w:val="00A93DB7"/>
    <w:rsid w:val="00AA0D29"/>
    <w:rsid w:val="00AA36D4"/>
    <w:rsid w:val="00B61D1F"/>
    <w:rsid w:val="00B70AE4"/>
    <w:rsid w:val="00BB1814"/>
    <w:rsid w:val="00C14ACF"/>
    <w:rsid w:val="00C3117A"/>
    <w:rsid w:val="00C52737"/>
    <w:rsid w:val="00C7101C"/>
    <w:rsid w:val="00CE2229"/>
    <w:rsid w:val="00DA02FF"/>
    <w:rsid w:val="00DA6D17"/>
    <w:rsid w:val="00E67620"/>
    <w:rsid w:val="00EA7BB5"/>
    <w:rsid w:val="00EB0B5C"/>
    <w:rsid w:val="00EC7673"/>
    <w:rsid w:val="00F15CFB"/>
    <w:rsid w:val="00F45FED"/>
    <w:rsid w:val="00FD21F8"/>
    <w:rsid w:val="01296E4E"/>
    <w:rsid w:val="013F28E9"/>
    <w:rsid w:val="01512F82"/>
    <w:rsid w:val="0163050E"/>
    <w:rsid w:val="01764136"/>
    <w:rsid w:val="01A54B21"/>
    <w:rsid w:val="01E0478F"/>
    <w:rsid w:val="02234209"/>
    <w:rsid w:val="02443245"/>
    <w:rsid w:val="025E1CF8"/>
    <w:rsid w:val="029831A8"/>
    <w:rsid w:val="029E27FA"/>
    <w:rsid w:val="02A23357"/>
    <w:rsid w:val="02AD2CE7"/>
    <w:rsid w:val="02B62269"/>
    <w:rsid w:val="02B72313"/>
    <w:rsid w:val="02B72ACA"/>
    <w:rsid w:val="02E6020C"/>
    <w:rsid w:val="02E9495F"/>
    <w:rsid w:val="02FA25E6"/>
    <w:rsid w:val="031B150C"/>
    <w:rsid w:val="032723E6"/>
    <w:rsid w:val="033B32A4"/>
    <w:rsid w:val="03401A44"/>
    <w:rsid w:val="034322AB"/>
    <w:rsid w:val="035E2F51"/>
    <w:rsid w:val="03DA392F"/>
    <w:rsid w:val="03E221BF"/>
    <w:rsid w:val="04932839"/>
    <w:rsid w:val="04A93D69"/>
    <w:rsid w:val="04BC1C77"/>
    <w:rsid w:val="04C35336"/>
    <w:rsid w:val="04F51145"/>
    <w:rsid w:val="0527702A"/>
    <w:rsid w:val="052A49F0"/>
    <w:rsid w:val="055D04DE"/>
    <w:rsid w:val="0598788C"/>
    <w:rsid w:val="059D7C11"/>
    <w:rsid w:val="059F787D"/>
    <w:rsid w:val="05A009CA"/>
    <w:rsid w:val="05C45AF6"/>
    <w:rsid w:val="0617290E"/>
    <w:rsid w:val="063F3A2C"/>
    <w:rsid w:val="06607BA2"/>
    <w:rsid w:val="066309E4"/>
    <w:rsid w:val="066524F3"/>
    <w:rsid w:val="067C47FF"/>
    <w:rsid w:val="06981C89"/>
    <w:rsid w:val="06A2500E"/>
    <w:rsid w:val="06B940DF"/>
    <w:rsid w:val="06FE26B8"/>
    <w:rsid w:val="070455B1"/>
    <w:rsid w:val="07093CEA"/>
    <w:rsid w:val="070A569A"/>
    <w:rsid w:val="07145D9B"/>
    <w:rsid w:val="07251489"/>
    <w:rsid w:val="076D2EBB"/>
    <w:rsid w:val="078668A8"/>
    <w:rsid w:val="078D1C34"/>
    <w:rsid w:val="07AA41C1"/>
    <w:rsid w:val="07AE5C2F"/>
    <w:rsid w:val="07AF1844"/>
    <w:rsid w:val="07E031FA"/>
    <w:rsid w:val="07EE4440"/>
    <w:rsid w:val="0817012A"/>
    <w:rsid w:val="08524CDC"/>
    <w:rsid w:val="08624E8E"/>
    <w:rsid w:val="087F2332"/>
    <w:rsid w:val="088C5C2F"/>
    <w:rsid w:val="08927A10"/>
    <w:rsid w:val="08B02817"/>
    <w:rsid w:val="08D44592"/>
    <w:rsid w:val="08EF6D13"/>
    <w:rsid w:val="08F117A7"/>
    <w:rsid w:val="08F95174"/>
    <w:rsid w:val="09014DB8"/>
    <w:rsid w:val="090D4F35"/>
    <w:rsid w:val="09BF748F"/>
    <w:rsid w:val="09E03AB1"/>
    <w:rsid w:val="09FC61A9"/>
    <w:rsid w:val="0A030639"/>
    <w:rsid w:val="0A0E75A7"/>
    <w:rsid w:val="0A1C15B2"/>
    <w:rsid w:val="0A781814"/>
    <w:rsid w:val="0AD56CB2"/>
    <w:rsid w:val="0AE54EBE"/>
    <w:rsid w:val="0B0A50C1"/>
    <w:rsid w:val="0B745930"/>
    <w:rsid w:val="0B874445"/>
    <w:rsid w:val="0BDB2CC0"/>
    <w:rsid w:val="0BE743EE"/>
    <w:rsid w:val="0BE913E8"/>
    <w:rsid w:val="0C23716C"/>
    <w:rsid w:val="0C6A620F"/>
    <w:rsid w:val="0C9E6F9D"/>
    <w:rsid w:val="0CEF6092"/>
    <w:rsid w:val="0DB56EFD"/>
    <w:rsid w:val="0DB71DD0"/>
    <w:rsid w:val="0DD5333F"/>
    <w:rsid w:val="0DE45FA3"/>
    <w:rsid w:val="0E0725BE"/>
    <w:rsid w:val="0E200B2B"/>
    <w:rsid w:val="0E347D82"/>
    <w:rsid w:val="0E7A40CC"/>
    <w:rsid w:val="0E884DBF"/>
    <w:rsid w:val="0EA31EC7"/>
    <w:rsid w:val="0EB62A4A"/>
    <w:rsid w:val="0EBB2C48"/>
    <w:rsid w:val="0EC25E0A"/>
    <w:rsid w:val="0EE41CEC"/>
    <w:rsid w:val="0EF14751"/>
    <w:rsid w:val="0F084AA8"/>
    <w:rsid w:val="0F0D4E33"/>
    <w:rsid w:val="0F1D4180"/>
    <w:rsid w:val="0F207836"/>
    <w:rsid w:val="0F352CB7"/>
    <w:rsid w:val="0F5B3D2D"/>
    <w:rsid w:val="0F5C5D92"/>
    <w:rsid w:val="0F8A62CC"/>
    <w:rsid w:val="0FAD5B6A"/>
    <w:rsid w:val="0FB54CE0"/>
    <w:rsid w:val="0FC74A63"/>
    <w:rsid w:val="0FEE0173"/>
    <w:rsid w:val="103C7437"/>
    <w:rsid w:val="1047199A"/>
    <w:rsid w:val="106917CE"/>
    <w:rsid w:val="10692694"/>
    <w:rsid w:val="108C734C"/>
    <w:rsid w:val="10B4086A"/>
    <w:rsid w:val="10CA22C1"/>
    <w:rsid w:val="10DB037F"/>
    <w:rsid w:val="10E62C91"/>
    <w:rsid w:val="10FF5A4B"/>
    <w:rsid w:val="1120216E"/>
    <w:rsid w:val="112110F8"/>
    <w:rsid w:val="11217890"/>
    <w:rsid w:val="112336F1"/>
    <w:rsid w:val="11371887"/>
    <w:rsid w:val="113F58ED"/>
    <w:rsid w:val="1160655D"/>
    <w:rsid w:val="116E79DA"/>
    <w:rsid w:val="11761D23"/>
    <w:rsid w:val="11910262"/>
    <w:rsid w:val="11B80406"/>
    <w:rsid w:val="11B935B1"/>
    <w:rsid w:val="11CE1D49"/>
    <w:rsid w:val="11CF3A4A"/>
    <w:rsid w:val="11D86F3A"/>
    <w:rsid w:val="11F93F15"/>
    <w:rsid w:val="121830F2"/>
    <w:rsid w:val="123010D3"/>
    <w:rsid w:val="123F0A6D"/>
    <w:rsid w:val="126636A3"/>
    <w:rsid w:val="12C26D0C"/>
    <w:rsid w:val="12D047E7"/>
    <w:rsid w:val="12D370F1"/>
    <w:rsid w:val="12D54646"/>
    <w:rsid w:val="13032816"/>
    <w:rsid w:val="135326DB"/>
    <w:rsid w:val="13713982"/>
    <w:rsid w:val="13720BC7"/>
    <w:rsid w:val="13856CBF"/>
    <w:rsid w:val="13FF422D"/>
    <w:rsid w:val="144B5EF1"/>
    <w:rsid w:val="14A029DF"/>
    <w:rsid w:val="14A5789F"/>
    <w:rsid w:val="14C03C05"/>
    <w:rsid w:val="14EC6AAE"/>
    <w:rsid w:val="156406D8"/>
    <w:rsid w:val="158C38FE"/>
    <w:rsid w:val="159140B1"/>
    <w:rsid w:val="15AD4A93"/>
    <w:rsid w:val="15B84E69"/>
    <w:rsid w:val="15D66A23"/>
    <w:rsid w:val="15D73CD8"/>
    <w:rsid w:val="15F778EF"/>
    <w:rsid w:val="16053DC9"/>
    <w:rsid w:val="1620409A"/>
    <w:rsid w:val="16321C94"/>
    <w:rsid w:val="164A3F37"/>
    <w:rsid w:val="165D7CEB"/>
    <w:rsid w:val="16A05152"/>
    <w:rsid w:val="16C43AA4"/>
    <w:rsid w:val="16D96885"/>
    <w:rsid w:val="16F5729B"/>
    <w:rsid w:val="170571D5"/>
    <w:rsid w:val="17076774"/>
    <w:rsid w:val="173D4C06"/>
    <w:rsid w:val="176142C0"/>
    <w:rsid w:val="177D598B"/>
    <w:rsid w:val="17900563"/>
    <w:rsid w:val="17A24BDA"/>
    <w:rsid w:val="17DD4180"/>
    <w:rsid w:val="17E5674E"/>
    <w:rsid w:val="17ED5EA3"/>
    <w:rsid w:val="1831582E"/>
    <w:rsid w:val="18343DBF"/>
    <w:rsid w:val="184515B4"/>
    <w:rsid w:val="18662188"/>
    <w:rsid w:val="18C50B29"/>
    <w:rsid w:val="18CF1525"/>
    <w:rsid w:val="191A0250"/>
    <w:rsid w:val="19342967"/>
    <w:rsid w:val="19605006"/>
    <w:rsid w:val="196C61C4"/>
    <w:rsid w:val="19BA2B49"/>
    <w:rsid w:val="19ED6C17"/>
    <w:rsid w:val="1A1440B4"/>
    <w:rsid w:val="1A5329D7"/>
    <w:rsid w:val="1A657416"/>
    <w:rsid w:val="1A8533BB"/>
    <w:rsid w:val="1ABB6B50"/>
    <w:rsid w:val="1B416428"/>
    <w:rsid w:val="1B6C7C5A"/>
    <w:rsid w:val="1B891160"/>
    <w:rsid w:val="1B9A09D6"/>
    <w:rsid w:val="1BA3418F"/>
    <w:rsid w:val="1BC07BFC"/>
    <w:rsid w:val="1C135815"/>
    <w:rsid w:val="1C143797"/>
    <w:rsid w:val="1C381A1F"/>
    <w:rsid w:val="1C3C281D"/>
    <w:rsid w:val="1C5D079B"/>
    <w:rsid w:val="1C786788"/>
    <w:rsid w:val="1C7867E3"/>
    <w:rsid w:val="1C986328"/>
    <w:rsid w:val="1C9A7F53"/>
    <w:rsid w:val="1CA470E0"/>
    <w:rsid w:val="1CB5035E"/>
    <w:rsid w:val="1CB70CBE"/>
    <w:rsid w:val="1CC40270"/>
    <w:rsid w:val="1CF338EF"/>
    <w:rsid w:val="1CFB6627"/>
    <w:rsid w:val="1D0D366C"/>
    <w:rsid w:val="1D146D3F"/>
    <w:rsid w:val="1D567FF3"/>
    <w:rsid w:val="1D7C03E3"/>
    <w:rsid w:val="1D8F5B8B"/>
    <w:rsid w:val="1DC62F21"/>
    <w:rsid w:val="1DF61D0E"/>
    <w:rsid w:val="1E0448BE"/>
    <w:rsid w:val="1E190B6A"/>
    <w:rsid w:val="1E600AFA"/>
    <w:rsid w:val="1E6C0066"/>
    <w:rsid w:val="1E745F07"/>
    <w:rsid w:val="1E8277F9"/>
    <w:rsid w:val="1E8F5DF4"/>
    <w:rsid w:val="1EC803F6"/>
    <w:rsid w:val="1ED174A9"/>
    <w:rsid w:val="1ED64C7F"/>
    <w:rsid w:val="1EEA77B6"/>
    <w:rsid w:val="1F015B98"/>
    <w:rsid w:val="1F1169E9"/>
    <w:rsid w:val="1F1B4C58"/>
    <w:rsid w:val="1F323F87"/>
    <w:rsid w:val="1F354BD8"/>
    <w:rsid w:val="1F360F0E"/>
    <w:rsid w:val="1F571751"/>
    <w:rsid w:val="1F7408A7"/>
    <w:rsid w:val="1FBE7EF9"/>
    <w:rsid w:val="1FDA0468"/>
    <w:rsid w:val="1FEB39DB"/>
    <w:rsid w:val="200D648F"/>
    <w:rsid w:val="202A24AB"/>
    <w:rsid w:val="203B1F94"/>
    <w:rsid w:val="203C2318"/>
    <w:rsid w:val="205648BA"/>
    <w:rsid w:val="2064787F"/>
    <w:rsid w:val="20AA75AD"/>
    <w:rsid w:val="21152F57"/>
    <w:rsid w:val="212F7ED7"/>
    <w:rsid w:val="21580871"/>
    <w:rsid w:val="21591A23"/>
    <w:rsid w:val="21AD4A76"/>
    <w:rsid w:val="21C13F16"/>
    <w:rsid w:val="22062281"/>
    <w:rsid w:val="220E72B8"/>
    <w:rsid w:val="222D322D"/>
    <w:rsid w:val="226863B2"/>
    <w:rsid w:val="227741DE"/>
    <w:rsid w:val="2291341D"/>
    <w:rsid w:val="22E23B92"/>
    <w:rsid w:val="232E06BE"/>
    <w:rsid w:val="232E3311"/>
    <w:rsid w:val="233D4B0A"/>
    <w:rsid w:val="23545636"/>
    <w:rsid w:val="238F2441"/>
    <w:rsid w:val="23A24D11"/>
    <w:rsid w:val="242119D1"/>
    <w:rsid w:val="248C067A"/>
    <w:rsid w:val="248C0936"/>
    <w:rsid w:val="2491512A"/>
    <w:rsid w:val="24B10D7F"/>
    <w:rsid w:val="24FB0930"/>
    <w:rsid w:val="257B16EA"/>
    <w:rsid w:val="25AE2C68"/>
    <w:rsid w:val="25C12D38"/>
    <w:rsid w:val="25DB3E1D"/>
    <w:rsid w:val="25E0235A"/>
    <w:rsid w:val="25E420B1"/>
    <w:rsid w:val="26175CC4"/>
    <w:rsid w:val="26C704B4"/>
    <w:rsid w:val="26D10126"/>
    <w:rsid w:val="26F66C90"/>
    <w:rsid w:val="27193347"/>
    <w:rsid w:val="27811FE0"/>
    <w:rsid w:val="2790224F"/>
    <w:rsid w:val="279E42E0"/>
    <w:rsid w:val="27B824D1"/>
    <w:rsid w:val="27EB53E4"/>
    <w:rsid w:val="27F66B58"/>
    <w:rsid w:val="27F808A4"/>
    <w:rsid w:val="281621B2"/>
    <w:rsid w:val="282708C3"/>
    <w:rsid w:val="28321A09"/>
    <w:rsid w:val="28494BC9"/>
    <w:rsid w:val="28621B2E"/>
    <w:rsid w:val="28842A0B"/>
    <w:rsid w:val="28BF7A45"/>
    <w:rsid w:val="28E13D12"/>
    <w:rsid w:val="29346DB1"/>
    <w:rsid w:val="29447341"/>
    <w:rsid w:val="29AA648C"/>
    <w:rsid w:val="29C84556"/>
    <w:rsid w:val="29E67568"/>
    <w:rsid w:val="29FE3B54"/>
    <w:rsid w:val="2A2670DE"/>
    <w:rsid w:val="2A7C15E3"/>
    <w:rsid w:val="2AB60816"/>
    <w:rsid w:val="2AD63D5F"/>
    <w:rsid w:val="2AEB4B7F"/>
    <w:rsid w:val="2AF053D9"/>
    <w:rsid w:val="2B1D6F92"/>
    <w:rsid w:val="2B2E0235"/>
    <w:rsid w:val="2B3F0F86"/>
    <w:rsid w:val="2B57365D"/>
    <w:rsid w:val="2B774C22"/>
    <w:rsid w:val="2B92728F"/>
    <w:rsid w:val="2BCA44E3"/>
    <w:rsid w:val="2BD563B1"/>
    <w:rsid w:val="2BFA6A0B"/>
    <w:rsid w:val="2C9E028B"/>
    <w:rsid w:val="2CB57C46"/>
    <w:rsid w:val="2CDB18A4"/>
    <w:rsid w:val="2D0B3D9E"/>
    <w:rsid w:val="2D19473B"/>
    <w:rsid w:val="2D342DCB"/>
    <w:rsid w:val="2D78778A"/>
    <w:rsid w:val="2DA7108A"/>
    <w:rsid w:val="2DB660F6"/>
    <w:rsid w:val="2DC148A8"/>
    <w:rsid w:val="2DC41260"/>
    <w:rsid w:val="2DEB25C9"/>
    <w:rsid w:val="2E130176"/>
    <w:rsid w:val="2E433539"/>
    <w:rsid w:val="2E574FDC"/>
    <w:rsid w:val="2ED05150"/>
    <w:rsid w:val="2EE362F7"/>
    <w:rsid w:val="2F3A5F92"/>
    <w:rsid w:val="2F413BF7"/>
    <w:rsid w:val="2F7C5BC2"/>
    <w:rsid w:val="2F7F4038"/>
    <w:rsid w:val="2FAA2102"/>
    <w:rsid w:val="2FC511BC"/>
    <w:rsid w:val="2FC55859"/>
    <w:rsid w:val="2FD063F6"/>
    <w:rsid w:val="2FD857CB"/>
    <w:rsid w:val="2FE142A3"/>
    <w:rsid w:val="3021203B"/>
    <w:rsid w:val="302B68C7"/>
    <w:rsid w:val="303A6B8E"/>
    <w:rsid w:val="3048184E"/>
    <w:rsid w:val="309409D8"/>
    <w:rsid w:val="309B0B12"/>
    <w:rsid w:val="30A24E2F"/>
    <w:rsid w:val="30AD01D5"/>
    <w:rsid w:val="30F660D5"/>
    <w:rsid w:val="31050F6F"/>
    <w:rsid w:val="310D1F10"/>
    <w:rsid w:val="316A5D64"/>
    <w:rsid w:val="318D14D7"/>
    <w:rsid w:val="319A5B28"/>
    <w:rsid w:val="31A63ED8"/>
    <w:rsid w:val="32156D93"/>
    <w:rsid w:val="322A53D5"/>
    <w:rsid w:val="32307BBE"/>
    <w:rsid w:val="328C1D58"/>
    <w:rsid w:val="329223AC"/>
    <w:rsid w:val="32C32A68"/>
    <w:rsid w:val="32E0072B"/>
    <w:rsid w:val="32E71DDC"/>
    <w:rsid w:val="33323B80"/>
    <w:rsid w:val="335612D2"/>
    <w:rsid w:val="335674A3"/>
    <w:rsid w:val="337215C5"/>
    <w:rsid w:val="33855662"/>
    <w:rsid w:val="33B344D7"/>
    <w:rsid w:val="33EE6B90"/>
    <w:rsid w:val="341320F7"/>
    <w:rsid w:val="341E3BB2"/>
    <w:rsid w:val="34226FB7"/>
    <w:rsid w:val="3487484B"/>
    <w:rsid w:val="3493272D"/>
    <w:rsid w:val="34CE2DFE"/>
    <w:rsid w:val="350729B9"/>
    <w:rsid w:val="35131D36"/>
    <w:rsid w:val="358214A9"/>
    <w:rsid w:val="35A62392"/>
    <w:rsid w:val="35A93F44"/>
    <w:rsid w:val="35C615A2"/>
    <w:rsid w:val="35E766DF"/>
    <w:rsid w:val="362F320C"/>
    <w:rsid w:val="36901ED7"/>
    <w:rsid w:val="36D523BB"/>
    <w:rsid w:val="36DB1697"/>
    <w:rsid w:val="36EF7732"/>
    <w:rsid w:val="371C3774"/>
    <w:rsid w:val="373A6261"/>
    <w:rsid w:val="378526EE"/>
    <w:rsid w:val="37901D19"/>
    <w:rsid w:val="379B54F8"/>
    <w:rsid w:val="37C23957"/>
    <w:rsid w:val="37CB2262"/>
    <w:rsid w:val="37CD162E"/>
    <w:rsid w:val="37FD6D42"/>
    <w:rsid w:val="37FF3756"/>
    <w:rsid w:val="3883286D"/>
    <w:rsid w:val="38A72A55"/>
    <w:rsid w:val="38A84C79"/>
    <w:rsid w:val="38CF790B"/>
    <w:rsid w:val="38DB1E0C"/>
    <w:rsid w:val="391E119C"/>
    <w:rsid w:val="394243CF"/>
    <w:rsid w:val="3961082D"/>
    <w:rsid w:val="396D0A96"/>
    <w:rsid w:val="39862012"/>
    <w:rsid w:val="39B046A4"/>
    <w:rsid w:val="39DD271E"/>
    <w:rsid w:val="3A137C9C"/>
    <w:rsid w:val="3A393B73"/>
    <w:rsid w:val="3AAA05D9"/>
    <w:rsid w:val="3AC32BDD"/>
    <w:rsid w:val="3AC9017C"/>
    <w:rsid w:val="3AD90819"/>
    <w:rsid w:val="3AE00833"/>
    <w:rsid w:val="3AE30361"/>
    <w:rsid w:val="3B3170F4"/>
    <w:rsid w:val="3B324530"/>
    <w:rsid w:val="3BA01BCE"/>
    <w:rsid w:val="3BE11A31"/>
    <w:rsid w:val="3BE45445"/>
    <w:rsid w:val="3BE9386E"/>
    <w:rsid w:val="3C3E13E5"/>
    <w:rsid w:val="3C3F49A2"/>
    <w:rsid w:val="3C8A2674"/>
    <w:rsid w:val="3C916352"/>
    <w:rsid w:val="3CA104B8"/>
    <w:rsid w:val="3CD60CF0"/>
    <w:rsid w:val="3D433A43"/>
    <w:rsid w:val="3D46401B"/>
    <w:rsid w:val="3D4F720B"/>
    <w:rsid w:val="3D535440"/>
    <w:rsid w:val="3D756AF4"/>
    <w:rsid w:val="3D962B77"/>
    <w:rsid w:val="3DB037D3"/>
    <w:rsid w:val="3DCB1891"/>
    <w:rsid w:val="3DE90B20"/>
    <w:rsid w:val="3DFF3C4B"/>
    <w:rsid w:val="3E06759A"/>
    <w:rsid w:val="3E4B6C23"/>
    <w:rsid w:val="3E881153"/>
    <w:rsid w:val="3ED027C8"/>
    <w:rsid w:val="3ED33DBA"/>
    <w:rsid w:val="3EE32212"/>
    <w:rsid w:val="3EE97C85"/>
    <w:rsid w:val="3EF15C26"/>
    <w:rsid w:val="3F7B6E23"/>
    <w:rsid w:val="3F844027"/>
    <w:rsid w:val="3FAD676F"/>
    <w:rsid w:val="3FB624B5"/>
    <w:rsid w:val="3FFD1C46"/>
    <w:rsid w:val="400574BE"/>
    <w:rsid w:val="401C1CED"/>
    <w:rsid w:val="40275ADE"/>
    <w:rsid w:val="402E59A1"/>
    <w:rsid w:val="40447813"/>
    <w:rsid w:val="405A22FA"/>
    <w:rsid w:val="405F25E7"/>
    <w:rsid w:val="405F61C7"/>
    <w:rsid w:val="40600D91"/>
    <w:rsid w:val="407540B2"/>
    <w:rsid w:val="40B17643"/>
    <w:rsid w:val="40C467D0"/>
    <w:rsid w:val="40E22D7A"/>
    <w:rsid w:val="40E23AD6"/>
    <w:rsid w:val="40FC4FCA"/>
    <w:rsid w:val="4101647E"/>
    <w:rsid w:val="41087384"/>
    <w:rsid w:val="41262204"/>
    <w:rsid w:val="41465E8C"/>
    <w:rsid w:val="417C1410"/>
    <w:rsid w:val="41870854"/>
    <w:rsid w:val="41DE7158"/>
    <w:rsid w:val="41EF7C18"/>
    <w:rsid w:val="41F231F2"/>
    <w:rsid w:val="42175DBC"/>
    <w:rsid w:val="42A30ACD"/>
    <w:rsid w:val="42AF5A31"/>
    <w:rsid w:val="42FF799B"/>
    <w:rsid w:val="43247163"/>
    <w:rsid w:val="43583C8D"/>
    <w:rsid w:val="435A5465"/>
    <w:rsid w:val="436828F0"/>
    <w:rsid w:val="43B14B3E"/>
    <w:rsid w:val="43F408F4"/>
    <w:rsid w:val="44161491"/>
    <w:rsid w:val="442027DA"/>
    <w:rsid w:val="443D1376"/>
    <w:rsid w:val="44C82824"/>
    <w:rsid w:val="44E77134"/>
    <w:rsid w:val="44F94D25"/>
    <w:rsid w:val="450C0A32"/>
    <w:rsid w:val="45206B67"/>
    <w:rsid w:val="45274E78"/>
    <w:rsid w:val="453A52F2"/>
    <w:rsid w:val="453E50B5"/>
    <w:rsid w:val="455E0142"/>
    <w:rsid w:val="455F73D4"/>
    <w:rsid w:val="458F3985"/>
    <w:rsid w:val="45971DB8"/>
    <w:rsid w:val="45AB3095"/>
    <w:rsid w:val="45CD1FAF"/>
    <w:rsid w:val="45D33EF2"/>
    <w:rsid w:val="45F12424"/>
    <w:rsid w:val="45FF642F"/>
    <w:rsid w:val="46103522"/>
    <w:rsid w:val="46362619"/>
    <w:rsid w:val="46572DD4"/>
    <w:rsid w:val="465A2C11"/>
    <w:rsid w:val="4666690F"/>
    <w:rsid w:val="46AB4069"/>
    <w:rsid w:val="46FA33B9"/>
    <w:rsid w:val="473D6EFE"/>
    <w:rsid w:val="48441AD3"/>
    <w:rsid w:val="4848517A"/>
    <w:rsid w:val="485B2A02"/>
    <w:rsid w:val="486E0D6F"/>
    <w:rsid w:val="489A772E"/>
    <w:rsid w:val="48A06DBD"/>
    <w:rsid w:val="48A241FB"/>
    <w:rsid w:val="48FB2FE3"/>
    <w:rsid w:val="491D440D"/>
    <w:rsid w:val="493407A5"/>
    <w:rsid w:val="495946E0"/>
    <w:rsid w:val="497E2837"/>
    <w:rsid w:val="4983694E"/>
    <w:rsid w:val="49BF0825"/>
    <w:rsid w:val="49C82548"/>
    <w:rsid w:val="49F031F4"/>
    <w:rsid w:val="4A0963F5"/>
    <w:rsid w:val="4A117169"/>
    <w:rsid w:val="4A130C9A"/>
    <w:rsid w:val="4A2A793F"/>
    <w:rsid w:val="4A791CBE"/>
    <w:rsid w:val="4A7E5C8C"/>
    <w:rsid w:val="4A864BA7"/>
    <w:rsid w:val="4A9505C5"/>
    <w:rsid w:val="4B0A4C47"/>
    <w:rsid w:val="4B201B43"/>
    <w:rsid w:val="4B340603"/>
    <w:rsid w:val="4B4E328A"/>
    <w:rsid w:val="4B623572"/>
    <w:rsid w:val="4B9B6A1F"/>
    <w:rsid w:val="4BCA0634"/>
    <w:rsid w:val="4BEF7000"/>
    <w:rsid w:val="4C125706"/>
    <w:rsid w:val="4C7D6B30"/>
    <w:rsid w:val="4C9512BD"/>
    <w:rsid w:val="4CB2310A"/>
    <w:rsid w:val="4CF031F5"/>
    <w:rsid w:val="4CF6385C"/>
    <w:rsid w:val="4D1D3AA2"/>
    <w:rsid w:val="4D2203A7"/>
    <w:rsid w:val="4D3920C2"/>
    <w:rsid w:val="4D657134"/>
    <w:rsid w:val="4D822540"/>
    <w:rsid w:val="4D8E6B2F"/>
    <w:rsid w:val="4D972EAC"/>
    <w:rsid w:val="4DE4171E"/>
    <w:rsid w:val="4DE96D5D"/>
    <w:rsid w:val="4DEC1872"/>
    <w:rsid w:val="4E0A1566"/>
    <w:rsid w:val="4E4573FA"/>
    <w:rsid w:val="4E7325AD"/>
    <w:rsid w:val="4EA54F58"/>
    <w:rsid w:val="4EC20640"/>
    <w:rsid w:val="4EF10A91"/>
    <w:rsid w:val="4EF81102"/>
    <w:rsid w:val="4EF92319"/>
    <w:rsid w:val="4EFC6443"/>
    <w:rsid w:val="4F094D56"/>
    <w:rsid w:val="4F257FBD"/>
    <w:rsid w:val="4F2D7549"/>
    <w:rsid w:val="4F39275E"/>
    <w:rsid w:val="4F3E612D"/>
    <w:rsid w:val="4F513E2F"/>
    <w:rsid w:val="4F6E7884"/>
    <w:rsid w:val="4F746168"/>
    <w:rsid w:val="4F7634D3"/>
    <w:rsid w:val="4FB9476A"/>
    <w:rsid w:val="4FCA51E9"/>
    <w:rsid w:val="4FD776DE"/>
    <w:rsid w:val="4FF664DD"/>
    <w:rsid w:val="500214E8"/>
    <w:rsid w:val="501267D5"/>
    <w:rsid w:val="50366408"/>
    <w:rsid w:val="503B09EC"/>
    <w:rsid w:val="503F7B0F"/>
    <w:rsid w:val="50536C25"/>
    <w:rsid w:val="508E2071"/>
    <w:rsid w:val="508E28F9"/>
    <w:rsid w:val="50922276"/>
    <w:rsid w:val="50BC7446"/>
    <w:rsid w:val="50CC0939"/>
    <w:rsid w:val="50EA2A4A"/>
    <w:rsid w:val="50F73F39"/>
    <w:rsid w:val="510A4C9F"/>
    <w:rsid w:val="511F74DB"/>
    <w:rsid w:val="512D2EA6"/>
    <w:rsid w:val="51416F3D"/>
    <w:rsid w:val="51522D9B"/>
    <w:rsid w:val="516C2D41"/>
    <w:rsid w:val="516F5B49"/>
    <w:rsid w:val="51BF2471"/>
    <w:rsid w:val="51BF6399"/>
    <w:rsid w:val="51ED0AB7"/>
    <w:rsid w:val="524A6929"/>
    <w:rsid w:val="525D3320"/>
    <w:rsid w:val="52835FA6"/>
    <w:rsid w:val="52902850"/>
    <w:rsid w:val="52EE1762"/>
    <w:rsid w:val="52FC79D7"/>
    <w:rsid w:val="53093F63"/>
    <w:rsid w:val="53D7212F"/>
    <w:rsid w:val="53F5109D"/>
    <w:rsid w:val="542C4814"/>
    <w:rsid w:val="54333D02"/>
    <w:rsid w:val="54464610"/>
    <w:rsid w:val="545B5B52"/>
    <w:rsid w:val="54713247"/>
    <w:rsid w:val="54742E7D"/>
    <w:rsid w:val="548D3656"/>
    <w:rsid w:val="54B33D65"/>
    <w:rsid w:val="54D623B2"/>
    <w:rsid w:val="54E147D5"/>
    <w:rsid w:val="54E93759"/>
    <w:rsid w:val="5537202C"/>
    <w:rsid w:val="55516E46"/>
    <w:rsid w:val="55560583"/>
    <w:rsid w:val="557B503F"/>
    <w:rsid w:val="55931946"/>
    <w:rsid w:val="55A8788B"/>
    <w:rsid w:val="55B47FEE"/>
    <w:rsid w:val="55C06D42"/>
    <w:rsid w:val="55C82260"/>
    <w:rsid w:val="55D162F8"/>
    <w:rsid w:val="562375DE"/>
    <w:rsid w:val="5641254D"/>
    <w:rsid w:val="564B0981"/>
    <w:rsid w:val="565C4A5E"/>
    <w:rsid w:val="56637CE7"/>
    <w:rsid w:val="567E7D0A"/>
    <w:rsid w:val="56893D28"/>
    <w:rsid w:val="56A06D38"/>
    <w:rsid w:val="56A82DBD"/>
    <w:rsid w:val="56AB61E0"/>
    <w:rsid w:val="56B347FA"/>
    <w:rsid w:val="56CB56E6"/>
    <w:rsid w:val="57062BED"/>
    <w:rsid w:val="570A5F3E"/>
    <w:rsid w:val="571A77DA"/>
    <w:rsid w:val="57440D4B"/>
    <w:rsid w:val="574462D8"/>
    <w:rsid w:val="57550791"/>
    <w:rsid w:val="575D6BB6"/>
    <w:rsid w:val="57640D0D"/>
    <w:rsid w:val="57645243"/>
    <w:rsid w:val="57693679"/>
    <w:rsid w:val="57785836"/>
    <w:rsid w:val="57C179A5"/>
    <w:rsid w:val="57F75197"/>
    <w:rsid w:val="57FA1AB0"/>
    <w:rsid w:val="58036018"/>
    <w:rsid w:val="580D33E7"/>
    <w:rsid w:val="581659F3"/>
    <w:rsid w:val="58211665"/>
    <w:rsid w:val="585F012C"/>
    <w:rsid w:val="587E43EF"/>
    <w:rsid w:val="58B2553C"/>
    <w:rsid w:val="58C739A6"/>
    <w:rsid w:val="58D0123D"/>
    <w:rsid w:val="58D462FC"/>
    <w:rsid w:val="59055F6A"/>
    <w:rsid w:val="592D6DA9"/>
    <w:rsid w:val="59367CA8"/>
    <w:rsid w:val="5953243F"/>
    <w:rsid w:val="596404AA"/>
    <w:rsid w:val="59B13C3C"/>
    <w:rsid w:val="59C04E99"/>
    <w:rsid w:val="5A303441"/>
    <w:rsid w:val="5A6F6F49"/>
    <w:rsid w:val="5A811620"/>
    <w:rsid w:val="5A8956C9"/>
    <w:rsid w:val="5A965826"/>
    <w:rsid w:val="5ADF2BB1"/>
    <w:rsid w:val="5B080C4A"/>
    <w:rsid w:val="5BAD4308"/>
    <w:rsid w:val="5BCD0331"/>
    <w:rsid w:val="5BEA08AB"/>
    <w:rsid w:val="5BEA4350"/>
    <w:rsid w:val="5C3570E3"/>
    <w:rsid w:val="5C3C70A5"/>
    <w:rsid w:val="5C652379"/>
    <w:rsid w:val="5C71363C"/>
    <w:rsid w:val="5C8B49FF"/>
    <w:rsid w:val="5CA45102"/>
    <w:rsid w:val="5CE95FC1"/>
    <w:rsid w:val="5CFD12FD"/>
    <w:rsid w:val="5D2B0098"/>
    <w:rsid w:val="5D560C73"/>
    <w:rsid w:val="5D7A0B88"/>
    <w:rsid w:val="5D926EBA"/>
    <w:rsid w:val="5D932285"/>
    <w:rsid w:val="5DBD54B9"/>
    <w:rsid w:val="5DC414CF"/>
    <w:rsid w:val="5E1E59D5"/>
    <w:rsid w:val="5E9A1DEE"/>
    <w:rsid w:val="5EC634DE"/>
    <w:rsid w:val="5ED7390E"/>
    <w:rsid w:val="5EE86362"/>
    <w:rsid w:val="5EF86AA4"/>
    <w:rsid w:val="5F1F460C"/>
    <w:rsid w:val="5F2043A8"/>
    <w:rsid w:val="5F4D6B17"/>
    <w:rsid w:val="5F884D79"/>
    <w:rsid w:val="5FD13CBE"/>
    <w:rsid w:val="5FE35633"/>
    <w:rsid w:val="5FE63AA0"/>
    <w:rsid w:val="5FED5DEB"/>
    <w:rsid w:val="5FF87F75"/>
    <w:rsid w:val="6002308C"/>
    <w:rsid w:val="60410C81"/>
    <w:rsid w:val="60743E94"/>
    <w:rsid w:val="60795A33"/>
    <w:rsid w:val="608D5181"/>
    <w:rsid w:val="60995493"/>
    <w:rsid w:val="60CF7875"/>
    <w:rsid w:val="60E30B2D"/>
    <w:rsid w:val="60E86E17"/>
    <w:rsid w:val="60E91030"/>
    <w:rsid w:val="60F01A2E"/>
    <w:rsid w:val="60F07C0E"/>
    <w:rsid w:val="610F6302"/>
    <w:rsid w:val="612800B5"/>
    <w:rsid w:val="61291922"/>
    <w:rsid w:val="612A5E56"/>
    <w:rsid w:val="613A5E0F"/>
    <w:rsid w:val="613C2E82"/>
    <w:rsid w:val="61443240"/>
    <w:rsid w:val="615C5B08"/>
    <w:rsid w:val="61830B6C"/>
    <w:rsid w:val="61C41455"/>
    <w:rsid w:val="61DC4A55"/>
    <w:rsid w:val="61DE51D0"/>
    <w:rsid w:val="61E00A2B"/>
    <w:rsid w:val="61E81AB5"/>
    <w:rsid w:val="620319FB"/>
    <w:rsid w:val="62163AC7"/>
    <w:rsid w:val="627629B8"/>
    <w:rsid w:val="627B4528"/>
    <w:rsid w:val="62FB67D7"/>
    <w:rsid w:val="635B38F6"/>
    <w:rsid w:val="637C558C"/>
    <w:rsid w:val="638D08AB"/>
    <w:rsid w:val="63E96411"/>
    <w:rsid w:val="641921C0"/>
    <w:rsid w:val="64296F66"/>
    <w:rsid w:val="644C31AA"/>
    <w:rsid w:val="64593788"/>
    <w:rsid w:val="64620644"/>
    <w:rsid w:val="646A24C6"/>
    <w:rsid w:val="64952C0C"/>
    <w:rsid w:val="64A9050B"/>
    <w:rsid w:val="64B441FB"/>
    <w:rsid w:val="64BE6000"/>
    <w:rsid w:val="64E72EF0"/>
    <w:rsid w:val="64EC6D75"/>
    <w:rsid w:val="64F80BD1"/>
    <w:rsid w:val="65065ECD"/>
    <w:rsid w:val="650B6B6C"/>
    <w:rsid w:val="651D1159"/>
    <w:rsid w:val="65366F4D"/>
    <w:rsid w:val="653E361D"/>
    <w:rsid w:val="65B349B4"/>
    <w:rsid w:val="65C02FF5"/>
    <w:rsid w:val="65F50A31"/>
    <w:rsid w:val="65F66897"/>
    <w:rsid w:val="660014E8"/>
    <w:rsid w:val="660B628E"/>
    <w:rsid w:val="66147659"/>
    <w:rsid w:val="661B67EC"/>
    <w:rsid w:val="665344CA"/>
    <w:rsid w:val="666F30C4"/>
    <w:rsid w:val="6687359F"/>
    <w:rsid w:val="66B17DA6"/>
    <w:rsid w:val="66CC40CF"/>
    <w:rsid w:val="66F04BB7"/>
    <w:rsid w:val="67131A19"/>
    <w:rsid w:val="671A3B86"/>
    <w:rsid w:val="67396E92"/>
    <w:rsid w:val="67596BA3"/>
    <w:rsid w:val="67874571"/>
    <w:rsid w:val="67C85F45"/>
    <w:rsid w:val="67CE7B78"/>
    <w:rsid w:val="67DC3F06"/>
    <w:rsid w:val="67E171D2"/>
    <w:rsid w:val="67E61E6D"/>
    <w:rsid w:val="67ED26AF"/>
    <w:rsid w:val="67F2707E"/>
    <w:rsid w:val="680C4C39"/>
    <w:rsid w:val="681E6100"/>
    <w:rsid w:val="68292D84"/>
    <w:rsid w:val="68423154"/>
    <w:rsid w:val="68707EE0"/>
    <w:rsid w:val="687C7550"/>
    <w:rsid w:val="68B31743"/>
    <w:rsid w:val="69067597"/>
    <w:rsid w:val="6925208B"/>
    <w:rsid w:val="69426562"/>
    <w:rsid w:val="69A8502E"/>
    <w:rsid w:val="69BE67DA"/>
    <w:rsid w:val="69FF7039"/>
    <w:rsid w:val="6A091A50"/>
    <w:rsid w:val="6A104232"/>
    <w:rsid w:val="6A493362"/>
    <w:rsid w:val="6A895FAB"/>
    <w:rsid w:val="6AD35F0D"/>
    <w:rsid w:val="6AF46793"/>
    <w:rsid w:val="6B4F3B58"/>
    <w:rsid w:val="6B65321E"/>
    <w:rsid w:val="6B9F336C"/>
    <w:rsid w:val="6BA22514"/>
    <w:rsid w:val="6BB5779F"/>
    <w:rsid w:val="6BCD13D7"/>
    <w:rsid w:val="6BD167C8"/>
    <w:rsid w:val="6BE049F8"/>
    <w:rsid w:val="6C130896"/>
    <w:rsid w:val="6C3E5C7E"/>
    <w:rsid w:val="6C483F83"/>
    <w:rsid w:val="6C584162"/>
    <w:rsid w:val="6C8106F7"/>
    <w:rsid w:val="6C993921"/>
    <w:rsid w:val="6CA421BD"/>
    <w:rsid w:val="6CA425A6"/>
    <w:rsid w:val="6CB609A1"/>
    <w:rsid w:val="6D4D493C"/>
    <w:rsid w:val="6D510824"/>
    <w:rsid w:val="6D5B25D0"/>
    <w:rsid w:val="6D662F5E"/>
    <w:rsid w:val="6D9A1546"/>
    <w:rsid w:val="6DA57EB1"/>
    <w:rsid w:val="6DB51E2F"/>
    <w:rsid w:val="6DB94E85"/>
    <w:rsid w:val="6DC355E3"/>
    <w:rsid w:val="6DC6025C"/>
    <w:rsid w:val="6DDD1298"/>
    <w:rsid w:val="6DEE2949"/>
    <w:rsid w:val="6E366014"/>
    <w:rsid w:val="6E3B0BD4"/>
    <w:rsid w:val="6E676912"/>
    <w:rsid w:val="6E695C79"/>
    <w:rsid w:val="6E7F016E"/>
    <w:rsid w:val="6E872312"/>
    <w:rsid w:val="6E8833D3"/>
    <w:rsid w:val="6E944454"/>
    <w:rsid w:val="6EAB7C3D"/>
    <w:rsid w:val="6EB461C1"/>
    <w:rsid w:val="6EDF4188"/>
    <w:rsid w:val="6F024957"/>
    <w:rsid w:val="6F084FA6"/>
    <w:rsid w:val="6F2F465C"/>
    <w:rsid w:val="6F55160F"/>
    <w:rsid w:val="6F9414A3"/>
    <w:rsid w:val="6FB8233D"/>
    <w:rsid w:val="6FD13820"/>
    <w:rsid w:val="701E71BD"/>
    <w:rsid w:val="702B4B79"/>
    <w:rsid w:val="703E04C9"/>
    <w:rsid w:val="707B7BE6"/>
    <w:rsid w:val="707D4C68"/>
    <w:rsid w:val="70FE7D68"/>
    <w:rsid w:val="711B6C0D"/>
    <w:rsid w:val="71305679"/>
    <w:rsid w:val="718D2785"/>
    <w:rsid w:val="720B6657"/>
    <w:rsid w:val="72372AD2"/>
    <w:rsid w:val="72390BA4"/>
    <w:rsid w:val="72561E9B"/>
    <w:rsid w:val="72A826F7"/>
    <w:rsid w:val="72AA1815"/>
    <w:rsid w:val="72B21189"/>
    <w:rsid w:val="72C84E81"/>
    <w:rsid w:val="72D278CD"/>
    <w:rsid w:val="73373C65"/>
    <w:rsid w:val="7357763A"/>
    <w:rsid w:val="7368477B"/>
    <w:rsid w:val="736D4706"/>
    <w:rsid w:val="739F6472"/>
    <w:rsid w:val="73AE4304"/>
    <w:rsid w:val="73C42549"/>
    <w:rsid w:val="73C971C3"/>
    <w:rsid w:val="73E314F9"/>
    <w:rsid w:val="73E77FC7"/>
    <w:rsid w:val="73EA4518"/>
    <w:rsid w:val="74013B11"/>
    <w:rsid w:val="74194D12"/>
    <w:rsid w:val="74200599"/>
    <w:rsid w:val="7447723F"/>
    <w:rsid w:val="74717C0C"/>
    <w:rsid w:val="74AE1B30"/>
    <w:rsid w:val="74B04BD4"/>
    <w:rsid w:val="74BA3438"/>
    <w:rsid w:val="74CA4D6E"/>
    <w:rsid w:val="74E840D0"/>
    <w:rsid w:val="750A006A"/>
    <w:rsid w:val="750E0472"/>
    <w:rsid w:val="7551213F"/>
    <w:rsid w:val="75627FE9"/>
    <w:rsid w:val="757D4FA9"/>
    <w:rsid w:val="75962BBF"/>
    <w:rsid w:val="75B4087C"/>
    <w:rsid w:val="75B95613"/>
    <w:rsid w:val="75E06D74"/>
    <w:rsid w:val="75E23E1E"/>
    <w:rsid w:val="75F52ED2"/>
    <w:rsid w:val="76044558"/>
    <w:rsid w:val="76190696"/>
    <w:rsid w:val="76252842"/>
    <w:rsid w:val="76262435"/>
    <w:rsid w:val="762B6AC6"/>
    <w:rsid w:val="76912C76"/>
    <w:rsid w:val="769E40CD"/>
    <w:rsid w:val="76AE0C8F"/>
    <w:rsid w:val="76C929BD"/>
    <w:rsid w:val="76D37389"/>
    <w:rsid w:val="76E1426C"/>
    <w:rsid w:val="77094A22"/>
    <w:rsid w:val="77243CF3"/>
    <w:rsid w:val="772E0EFE"/>
    <w:rsid w:val="77654915"/>
    <w:rsid w:val="777D122B"/>
    <w:rsid w:val="77A577FC"/>
    <w:rsid w:val="77B31C2C"/>
    <w:rsid w:val="77B7322E"/>
    <w:rsid w:val="77CA642C"/>
    <w:rsid w:val="77FE4933"/>
    <w:rsid w:val="7807444F"/>
    <w:rsid w:val="78074826"/>
    <w:rsid w:val="782A659E"/>
    <w:rsid w:val="783B3A8B"/>
    <w:rsid w:val="78662888"/>
    <w:rsid w:val="78A76457"/>
    <w:rsid w:val="78D3131F"/>
    <w:rsid w:val="78DC1F29"/>
    <w:rsid w:val="78E126B8"/>
    <w:rsid w:val="78F36DAF"/>
    <w:rsid w:val="79111324"/>
    <w:rsid w:val="793B7310"/>
    <w:rsid w:val="794539D2"/>
    <w:rsid w:val="79623D9A"/>
    <w:rsid w:val="797C05F8"/>
    <w:rsid w:val="79900DE0"/>
    <w:rsid w:val="799300D6"/>
    <w:rsid w:val="79AB29FE"/>
    <w:rsid w:val="79B262B0"/>
    <w:rsid w:val="79CF310B"/>
    <w:rsid w:val="79D54E9B"/>
    <w:rsid w:val="79E063D3"/>
    <w:rsid w:val="79E10ED6"/>
    <w:rsid w:val="7A2715C6"/>
    <w:rsid w:val="7A2C4591"/>
    <w:rsid w:val="7A54787E"/>
    <w:rsid w:val="7A97719F"/>
    <w:rsid w:val="7AAB164E"/>
    <w:rsid w:val="7ABB54CD"/>
    <w:rsid w:val="7B513FAC"/>
    <w:rsid w:val="7B572A91"/>
    <w:rsid w:val="7B896448"/>
    <w:rsid w:val="7B8B2564"/>
    <w:rsid w:val="7B901D31"/>
    <w:rsid w:val="7BA74B12"/>
    <w:rsid w:val="7BC1141D"/>
    <w:rsid w:val="7BE36375"/>
    <w:rsid w:val="7BE466C7"/>
    <w:rsid w:val="7BFB4C43"/>
    <w:rsid w:val="7C26159F"/>
    <w:rsid w:val="7C532246"/>
    <w:rsid w:val="7C5549D1"/>
    <w:rsid w:val="7C58178E"/>
    <w:rsid w:val="7C59595B"/>
    <w:rsid w:val="7D1565AE"/>
    <w:rsid w:val="7D3A7C77"/>
    <w:rsid w:val="7D5663B3"/>
    <w:rsid w:val="7D8A3B8A"/>
    <w:rsid w:val="7D922046"/>
    <w:rsid w:val="7DAF27B4"/>
    <w:rsid w:val="7DB564EA"/>
    <w:rsid w:val="7DCD6749"/>
    <w:rsid w:val="7DEE41DF"/>
    <w:rsid w:val="7E11053D"/>
    <w:rsid w:val="7E2403F9"/>
    <w:rsid w:val="7E4C2801"/>
    <w:rsid w:val="7E77451E"/>
    <w:rsid w:val="7E7E3C83"/>
    <w:rsid w:val="7E9E3029"/>
    <w:rsid w:val="7EA0791F"/>
    <w:rsid w:val="7EA21F68"/>
    <w:rsid w:val="7EB167A9"/>
    <w:rsid w:val="7EC93BFD"/>
    <w:rsid w:val="7EE45163"/>
    <w:rsid w:val="7EF14AAA"/>
    <w:rsid w:val="7F234FF3"/>
    <w:rsid w:val="7F5A14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nhideWhenUsed="1" w:qFormat="1"/>
    <w:lsdException w:name="footer" w:uiPriority="99" w:qFormat="1"/>
    <w:lsdException w:name="caption" w:semiHidden="1" w:unhideWhenUsed="1" w:qFormat="1"/>
    <w:lsdException w:name="footnote reference"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Body Text First Inden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4654"/>
    <w:pPr>
      <w:overflowPunct w:val="0"/>
      <w:autoSpaceDE w:val="0"/>
      <w:autoSpaceDN w:val="0"/>
      <w:adjustRightInd w:val="0"/>
      <w:jc w:val="both"/>
      <w:textAlignment w:val="baseline"/>
    </w:pPr>
    <w:rPr>
      <w:sz w:val="21"/>
    </w:rPr>
  </w:style>
  <w:style w:type="paragraph" w:styleId="1">
    <w:name w:val="heading 1"/>
    <w:basedOn w:val="a"/>
    <w:next w:val="a"/>
    <w:uiPriority w:val="9"/>
    <w:qFormat/>
    <w:rsid w:val="000C4654"/>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rsid w:val="000C465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0C4654"/>
    <w:pPr>
      <w:spacing w:after="120"/>
    </w:pPr>
  </w:style>
  <w:style w:type="paragraph" w:styleId="a4">
    <w:name w:val="footer"/>
    <w:basedOn w:val="a"/>
    <w:uiPriority w:val="99"/>
    <w:qFormat/>
    <w:rsid w:val="000C4654"/>
    <w:pPr>
      <w:tabs>
        <w:tab w:val="center" w:pos="4153"/>
        <w:tab w:val="right" w:pos="8306"/>
      </w:tabs>
    </w:pPr>
    <w:rPr>
      <w:sz w:val="20"/>
    </w:rPr>
  </w:style>
  <w:style w:type="paragraph" w:styleId="a5">
    <w:name w:val="footnote text"/>
    <w:basedOn w:val="a"/>
    <w:unhideWhenUsed/>
    <w:qFormat/>
    <w:rsid w:val="000C4654"/>
    <w:pPr>
      <w:widowControl w:val="0"/>
      <w:overflowPunct/>
      <w:autoSpaceDE/>
      <w:autoSpaceDN/>
      <w:adjustRightInd/>
      <w:snapToGrid w:val="0"/>
      <w:jc w:val="left"/>
      <w:textAlignment w:val="auto"/>
    </w:pPr>
    <w:rPr>
      <w:kern w:val="2"/>
      <w:sz w:val="18"/>
      <w:szCs w:val="18"/>
    </w:rPr>
  </w:style>
  <w:style w:type="paragraph" w:styleId="a6">
    <w:name w:val="Normal (Web)"/>
    <w:basedOn w:val="a"/>
    <w:qFormat/>
    <w:rsid w:val="000C4654"/>
    <w:pPr>
      <w:spacing w:beforeAutospacing="1" w:afterAutospacing="1"/>
      <w:jc w:val="left"/>
    </w:pPr>
    <w:rPr>
      <w:sz w:val="24"/>
    </w:rPr>
  </w:style>
  <w:style w:type="paragraph" w:styleId="a7">
    <w:name w:val="Body Text First Indent"/>
    <w:basedOn w:val="a3"/>
    <w:uiPriority w:val="99"/>
    <w:unhideWhenUsed/>
    <w:qFormat/>
    <w:rsid w:val="000C4654"/>
    <w:pPr>
      <w:ind w:firstLineChars="100" w:firstLine="420"/>
    </w:pPr>
  </w:style>
  <w:style w:type="table" w:styleId="a8">
    <w:name w:val="Table Grid"/>
    <w:basedOn w:val="a1"/>
    <w:qFormat/>
    <w:rsid w:val="000C465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qFormat/>
    <w:rsid w:val="000C4654"/>
    <w:rPr>
      <w:i/>
    </w:rPr>
  </w:style>
  <w:style w:type="character" w:styleId="aa">
    <w:name w:val="footnote reference"/>
    <w:unhideWhenUsed/>
    <w:qFormat/>
    <w:rsid w:val="000C4654"/>
    <w:rPr>
      <w:vertAlign w:val="superscript"/>
    </w:rPr>
  </w:style>
  <w:style w:type="paragraph" w:customStyle="1" w:styleId="ab">
    <w:name w:val="表名"/>
    <w:basedOn w:val="a"/>
    <w:qFormat/>
    <w:rsid w:val="000C4654"/>
    <w:pPr>
      <w:widowControl w:val="0"/>
      <w:overflowPunct/>
      <w:autoSpaceDE/>
      <w:autoSpaceDN/>
      <w:adjustRightInd/>
      <w:spacing w:before="60" w:after="60"/>
      <w:jc w:val="center"/>
      <w:textAlignment w:val="auto"/>
    </w:pPr>
    <w:rPr>
      <w:rFonts w:eastAsia="仿宋_GB2312"/>
      <w:b/>
      <w:kern w:val="2"/>
      <w:sz w:val="24"/>
      <w:szCs w:val="24"/>
    </w:rPr>
  </w:style>
  <w:style w:type="character" w:customStyle="1" w:styleId="font21">
    <w:name w:val="font21"/>
    <w:basedOn w:val="a0"/>
    <w:qFormat/>
    <w:rsid w:val="000C4654"/>
    <w:rPr>
      <w:rFonts w:ascii="Times New Roman" w:hAnsi="Times New Roman" w:cs="Times New Roman" w:hint="default"/>
      <w:b/>
      <w:color w:val="000000"/>
      <w:sz w:val="21"/>
      <w:szCs w:val="21"/>
      <w:u w:val="none"/>
    </w:rPr>
  </w:style>
  <w:style w:type="character" w:customStyle="1" w:styleId="font01">
    <w:name w:val="font01"/>
    <w:basedOn w:val="a0"/>
    <w:qFormat/>
    <w:rsid w:val="000C4654"/>
    <w:rPr>
      <w:rFonts w:ascii="仿宋_GB2312" w:eastAsia="仿宋_GB2312" w:cs="仿宋_GB2312" w:hint="eastAsia"/>
      <w:b/>
      <w:color w:val="000000"/>
      <w:sz w:val="21"/>
      <w:szCs w:val="21"/>
      <w:u w:val="none"/>
    </w:rPr>
  </w:style>
  <w:style w:type="character" w:customStyle="1" w:styleId="font11">
    <w:name w:val="font11"/>
    <w:basedOn w:val="a0"/>
    <w:qFormat/>
    <w:rsid w:val="000C4654"/>
    <w:rPr>
      <w:rFonts w:ascii="Times New Roman" w:hAnsi="Times New Roman" w:cs="Times New Roman" w:hint="default"/>
      <w:b/>
      <w:color w:val="000000"/>
      <w:sz w:val="21"/>
      <w:szCs w:val="21"/>
      <w:u w:val="none"/>
    </w:rPr>
  </w:style>
  <w:style w:type="character" w:customStyle="1" w:styleId="font41">
    <w:name w:val="font41"/>
    <w:basedOn w:val="a0"/>
    <w:qFormat/>
    <w:rsid w:val="000C4654"/>
    <w:rPr>
      <w:rFonts w:ascii="仿宋_GB2312" w:eastAsia="仿宋_GB2312" w:cs="仿宋_GB2312" w:hint="eastAsia"/>
      <w:b/>
      <w:color w:val="000000"/>
      <w:sz w:val="21"/>
      <w:szCs w:val="21"/>
      <w:u w:val="none"/>
    </w:rPr>
  </w:style>
  <w:style w:type="character" w:customStyle="1" w:styleId="font31">
    <w:name w:val="font31"/>
    <w:basedOn w:val="a0"/>
    <w:qFormat/>
    <w:rsid w:val="000C4654"/>
    <w:rPr>
      <w:rFonts w:ascii="仿宋_GB2312" w:eastAsia="仿宋_GB2312" w:cs="仿宋_GB2312" w:hint="eastAsia"/>
      <w:b/>
      <w:color w:val="000000"/>
      <w:sz w:val="21"/>
      <w:szCs w:val="21"/>
      <w:u w:val="none"/>
    </w:rPr>
  </w:style>
  <w:style w:type="paragraph" w:styleId="ac">
    <w:name w:val="header"/>
    <w:basedOn w:val="a"/>
    <w:link w:val="Char"/>
    <w:rsid w:val="00A51A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c"/>
    <w:rsid w:val="00A51A8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22</Pages>
  <Words>1976</Words>
  <Characters>11267</Characters>
  <Application>Microsoft Office Word</Application>
  <DocSecurity>0</DocSecurity>
  <Lines>93</Lines>
  <Paragraphs>26</Paragraphs>
  <ScaleCrop>false</ScaleCrop>
  <Company>Microsoft</Company>
  <LinksUpToDate>false</LinksUpToDate>
  <CharactersWithSpaces>13217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霏吡尋常</dc:creator>
  <cp:lastModifiedBy>PC</cp:lastModifiedBy>
  <cp:revision>11</cp:revision>
  <dcterms:created xsi:type="dcterms:W3CDTF">2020-07-13T01:27:00Z</dcterms:created>
  <dcterms:modified xsi:type="dcterms:W3CDTF">2025-10-17T09:36:00Z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22B6F389916243DA9784B7E232689435</vt:lpwstr>
  </property>
  <property fmtid="{D5CDD505-2E9C-101B-9397-08002B2CF9AE}" pid="4" name="KSOSaveFontToCloudKey">
    <vt:lpwstr>8269707_cloud</vt:lpwstr>
  </property>
  <property fmtid="{D5CDD505-2E9C-101B-9397-08002B2CF9AE}" pid="5" name="KSOTemplateDocerSaveRecord">
    <vt:lpwstr>eyJoZGlkIjoiZTg2M2Y0YzJlMDZjOTZlYjQyY2FmMjQ5N2ZkMDEwMDciLCJ1c2VySWQiOiI0MzYwMjI4MzEifQ==</vt:lpwstr>
  </property>
</Properties>
</file>