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BEE22">
      <w:pPr>
        <w:jc w:val="center"/>
        <w:rPr>
          <w:rFonts w:hint="default" w:ascii="Times New Roman" w:hAnsi="Times New Roman" w:eastAsia="方正小标宋_GBK" w:cs="Times New Roman"/>
          <w:b w:val="0"/>
          <w:bCs w:val="0"/>
          <w:sz w:val="36"/>
          <w:szCs w:val="36"/>
          <w:lang w:eastAsia="zh-CN"/>
        </w:rPr>
      </w:pPr>
      <w:r>
        <w:rPr>
          <w:rFonts w:hint="default" w:ascii="Times New Roman" w:hAnsi="Times New Roman" w:eastAsia="方正小标宋_GBK" w:cs="Times New Roman"/>
          <w:b w:val="0"/>
          <w:bCs w:val="0"/>
          <w:sz w:val="36"/>
          <w:szCs w:val="36"/>
        </w:rPr>
        <w:t>202</w:t>
      </w:r>
      <w:r>
        <w:rPr>
          <w:rFonts w:hint="eastAsia" w:ascii="Times New Roman" w:hAnsi="Times New Roman" w:eastAsia="方正小标宋_GBK" w:cs="Times New Roman"/>
          <w:b w:val="0"/>
          <w:bCs w:val="0"/>
          <w:sz w:val="36"/>
          <w:szCs w:val="36"/>
          <w:lang w:val="en-US" w:eastAsia="zh-CN"/>
        </w:rPr>
        <w:t>4</w:t>
      </w:r>
      <w:r>
        <w:rPr>
          <w:rFonts w:hint="default" w:ascii="Times New Roman" w:hAnsi="Times New Roman" w:eastAsia="方正小标宋_GBK" w:cs="Times New Roman"/>
          <w:b w:val="0"/>
          <w:bCs w:val="0"/>
          <w:sz w:val="36"/>
          <w:szCs w:val="36"/>
        </w:rPr>
        <w:t>年度</w:t>
      </w:r>
      <w:r>
        <w:rPr>
          <w:rFonts w:hint="eastAsia" w:ascii="Times New Roman" w:hAnsi="Times New Roman" w:eastAsia="方正小标宋_GBK" w:cs="Times New Roman"/>
          <w:b w:val="0"/>
          <w:bCs w:val="0"/>
          <w:sz w:val="36"/>
          <w:szCs w:val="36"/>
          <w:lang w:eastAsia="zh-CN"/>
        </w:rPr>
        <w:t>市属公立医院补助</w:t>
      </w:r>
    </w:p>
    <w:p w14:paraId="6A7576F7">
      <w:pPr>
        <w:pageBreakBefore w:val="0"/>
        <w:widowControl/>
        <w:kinsoku/>
        <w:wordWrap/>
        <w:overflowPunct/>
        <w:topLinePunct w:val="0"/>
        <w:autoSpaceDE/>
        <w:autoSpaceDN/>
        <w:bidi w:val="0"/>
        <w:adjustRightInd/>
        <w:spacing w:line="540" w:lineRule="exact"/>
        <w:ind w:firstLine="720" w:firstLineChars="200"/>
        <w:jc w:val="center"/>
        <w:textAlignment w:val="auto"/>
        <w:rPr>
          <w:rFonts w:hint="default" w:ascii="Times New Roman" w:hAnsi="Times New Roman" w:eastAsia="方正小标宋_GBK" w:cs="Times New Roman"/>
          <w:b w:val="0"/>
          <w:bCs w:val="0"/>
          <w:sz w:val="36"/>
          <w:szCs w:val="36"/>
        </w:rPr>
      </w:pPr>
      <w:r>
        <w:rPr>
          <w:rFonts w:hint="default" w:ascii="Times New Roman" w:hAnsi="Times New Roman" w:eastAsia="方正小标宋_GBK" w:cs="Times New Roman"/>
          <w:b w:val="0"/>
          <w:bCs w:val="0"/>
          <w:sz w:val="36"/>
          <w:szCs w:val="36"/>
          <w:lang w:eastAsia="zh-CN"/>
        </w:rPr>
        <w:t>专项资金（重点项目）</w:t>
      </w:r>
      <w:r>
        <w:rPr>
          <w:rFonts w:hint="default" w:ascii="Times New Roman" w:hAnsi="Times New Roman" w:eastAsia="方正小标宋_GBK" w:cs="Times New Roman"/>
          <w:b w:val="0"/>
          <w:bCs w:val="0"/>
          <w:sz w:val="36"/>
          <w:szCs w:val="36"/>
        </w:rPr>
        <w:t>绩效自评价报告</w:t>
      </w:r>
    </w:p>
    <w:p w14:paraId="6FCB0F3C">
      <w:pPr>
        <w:pageBreakBefore w:val="0"/>
        <w:widowControl/>
        <w:kinsoku/>
        <w:wordWrap/>
        <w:overflowPunct/>
        <w:topLinePunct w:val="0"/>
        <w:autoSpaceDE/>
        <w:autoSpaceDN/>
        <w:bidi w:val="0"/>
        <w:adjustRightInd/>
        <w:spacing w:line="540" w:lineRule="exact"/>
        <w:ind w:firstLine="640" w:firstLineChars="200"/>
        <w:jc w:val="left"/>
        <w:textAlignment w:val="auto"/>
        <w:rPr>
          <w:rFonts w:hint="eastAsia" w:ascii="黑体" w:hAnsi="黑体" w:eastAsia="黑体" w:cs="黑体"/>
          <w:b w:val="0"/>
          <w:bCs w:val="0"/>
          <w:kern w:val="0"/>
          <w:sz w:val="24"/>
          <w:szCs w:val="24"/>
        </w:rPr>
      </w:pPr>
      <w:bookmarkStart w:id="0" w:name="_GoBack"/>
      <w:r>
        <w:rPr>
          <w:rFonts w:hint="eastAsia" w:ascii="黑体" w:hAnsi="黑体" w:eastAsia="黑体" w:cs="黑体"/>
          <w:b w:val="0"/>
          <w:bCs w:val="0"/>
          <w:color w:val="000000"/>
          <w:kern w:val="0"/>
          <w:sz w:val="32"/>
          <w:szCs w:val="32"/>
        </w:rPr>
        <w:t>一、项目概况</w:t>
      </w:r>
    </w:p>
    <w:bookmarkEnd w:id="0"/>
    <w:p w14:paraId="16F649D7">
      <w:pPr>
        <w:pageBreakBefore w:val="0"/>
        <w:widowControl/>
        <w:kinsoku/>
        <w:wordWrap/>
        <w:overflowPunct/>
        <w:topLinePunct w:val="0"/>
        <w:autoSpaceDE/>
        <w:autoSpaceDN/>
        <w:bidi w:val="0"/>
        <w:adjustRightInd/>
        <w:spacing w:line="540" w:lineRule="exact"/>
        <w:ind w:firstLine="640" w:firstLineChars="200"/>
        <w:jc w:val="left"/>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（一）项目基本情况</w:t>
      </w:r>
    </w:p>
    <w:p w14:paraId="6D519E34">
      <w:pPr>
        <w:pageBreakBefore w:val="0"/>
        <w:widowControl/>
        <w:kinsoku/>
        <w:wordWrap/>
        <w:overflowPunct/>
        <w:topLinePunct w:val="0"/>
        <w:autoSpaceDE/>
        <w:autoSpaceDN/>
        <w:bidi w:val="0"/>
        <w:adjustRightInd/>
        <w:spacing w:line="540" w:lineRule="exact"/>
        <w:ind w:firstLine="640" w:firstLineChars="200"/>
        <w:jc w:val="left"/>
        <w:textAlignment w:val="auto"/>
        <w:rPr>
          <w:rFonts w:hint="eastAsia" w:ascii="仿宋_GB2312" w:hAnsi="仿宋_GB2312" w:eastAsia="仿宋_GB2312" w:cs="仿宋_GB2312"/>
          <w:b w:val="0"/>
          <w:bCs w:val="0"/>
          <w:i w:val="0"/>
          <w:strike w:val="0"/>
          <w:color w:val="000000"/>
          <w:sz w:val="32"/>
          <w:u w:val="none"/>
          <w:lang w:eastAsia="zh-CN"/>
        </w:rPr>
      </w:pPr>
      <w:r>
        <w:rPr>
          <w:rFonts w:hint="eastAsia" w:ascii="仿宋_GB2312" w:hAnsi="仿宋_GB2312" w:eastAsia="仿宋_GB2312" w:cs="仿宋_GB2312"/>
          <w:b w:val="0"/>
          <w:bCs w:val="0"/>
          <w:i w:val="0"/>
          <w:strike w:val="0"/>
          <w:color w:val="000000"/>
          <w:sz w:val="32"/>
          <w:u w:val="none"/>
        </w:rPr>
        <w:t>根据《中共南京市委 南京市人民政府关于深化医药卫生体制改革 建设现代医疗卫生体系的意见》（宁委发[2015]22号）、《关于进一步完善政府卫生投入政策的意见》（宁财社[2015]596号）、《关于江苏省公立医院绩效考核的指导意见》（苏卫体改〔2015〕5号）、《关于印发南京市市属公立医院绩效考核评价办法（试行）的通知》（宁医管委〔2017〕2号）、市政府《进一步加强基层卫生人才队伍建设的实施意见》（宁政办发[2015]112号文）等相关政策法规，开展我市公立医院发展、医联体建设</w:t>
      </w:r>
      <w:r>
        <w:rPr>
          <w:rFonts w:hint="eastAsia" w:ascii="仿宋_GB2312" w:hAnsi="仿宋_GB2312" w:eastAsia="仿宋_GB2312" w:cs="仿宋_GB2312"/>
          <w:b w:val="0"/>
          <w:bCs w:val="0"/>
          <w:i w:val="0"/>
          <w:strike w:val="0"/>
          <w:color w:val="000000"/>
          <w:sz w:val="32"/>
          <w:u w:val="none"/>
          <w:lang w:eastAsia="zh-CN"/>
        </w:rPr>
        <w:t>、对口支援、中医药传承创新发展</w:t>
      </w:r>
      <w:r>
        <w:rPr>
          <w:rFonts w:hint="eastAsia" w:ascii="仿宋_GB2312" w:hAnsi="仿宋_GB2312" w:eastAsia="仿宋_GB2312" w:cs="仿宋_GB2312"/>
          <w:b w:val="0"/>
          <w:bCs w:val="0"/>
          <w:i w:val="0"/>
          <w:strike w:val="0"/>
          <w:color w:val="000000"/>
          <w:sz w:val="32"/>
          <w:u w:val="none"/>
        </w:rPr>
        <w:t>等专项工作。持续推进市属公立医院全面实行药品零差率销售，医疗服务价格结构性矛盾明显缓解；促进我市公立医院降低运行成本和提高运行效率，坚持公益性，调动积极性，更好地为人民群众提供优质的医疗服务；建立南京市医联体综合绩效考核指标体系</w:t>
      </w:r>
      <w:r>
        <w:rPr>
          <w:rFonts w:hint="eastAsia" w:ascii="仿宋_GB2312" w:hAnsi="仿宋_GB2312" w:eastAsia="仿宋_GB2312" w:cs="仿宋_GB2312"/>
          <w:b w:val="0"/>
          <w:bCs w:val="0"/>
          <w:i w:val="0"/>
          <w:strike w:val="0"/>
          <w:color w:val="000000"/>
          <w:sz w:val="32"/>
          <w:u w:val="none"/>
          <w:lang w:eastAsia="zh-CN"/>
        </w:rPr>
        <w:t>。</w:t>
      </w:r>
    </w:p>
    <w:p w14:paraId="0AA363F7">
      <w:pPr>
        <w:pageBreakBefore w:val="0"/>
        <w:widowControl/>
        <w:kinsoku/>
        <w:wordWrap/>
        <w:overflowPunct/>
        <w:topLinePunct w:val="0"/>
        <w:autoSpaceDE/>
        <w:autoSpaceDN/>
        <w:bidi w:val="0"/>
        <w:adjustRightInd/>
        <w:spacing w:line="540" w:lineRule="exact"/>
        <w:ind w:firstLine="640" w:firstLineChars="200"/>
        <w:jc w:val="left"/>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（二）项目资金情况</w:t>
      </w:r>
    </w:p>
    <w:p w14:paraId="125D53D2">
      <w:pPr>
        <w:pageBreakBefore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bCs w:val="0"/>
          <w:i w:val="0"/>
          <w:strike w:val="0"/>
          <w:color w:val="000000"/>
          <w:sz w:val="32"/>
          <w:u w:val="none"/>
          <w:lang w:val="en-US" w:eastAsia="zh-CN"/>
        </w:rPr>
      </w:pPr>
      <w:r>
        <w:rPr>
          <w:rFonts w:hint="eastAsia" w:ascii="仿宋_GB2312" w:hAnsi="仿宋_GB2312" w:eastAsia="仿宋_GB2312" w:cs="仿宋_GB2312"/>
          <w:b w:val="0"/>
          <w:bCs w:val="0"/>
          <w:color w:val="auto"/>
          <w:kern w:val="2"/>
          <w:sz w:val="32"/>
          <w:szCs w:val="32"/>
          <w:lang w:val="en-US" w:eastAsia="zh-CN" w:bidi="ar-SA"/>
        </w:rPr>
        <w:t>2024年度市属公立医院补助专项预算5.95亿元，调整后预算数5.51亿元，下达金额5.51亿元主要用于药品、耗材零差率考核奖补、医联体建设、市妇幼丁家庄院区建设、对口支援工作、中医药传承创新发展等专项工作。</w:t>
      </w:r>
    </w:p>
    <w:p w14:paraId="3965D1C5">
      <w:pPr>
        <w:pageBreakBefore w:val="0"/>
        <w:widowControl/>
        <w:kinsoku/>
        <w:wordWrap/>
        <w:overflowPunct/>
        <w:topLinePunct w:val="0"/>
        <w:autoSpaceDE/>
        <w:autoSpaceDN/>
        <w:bidi w:val="0"/>
        <w:adjustRightInd/>
        <w:spacing w:line="54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color w:val="000000"/>
          <w:kern w:val="0"/>
          <w:sz w:val="32"/>
          <w:szCs w:val="32"/>
          <w:lang w:eastAsia="zh-CN"/>
        </w:rPr>
        <w:t>年度绩效目标：</w:t>
      </w:r>
    </w:p>
    <w:p w14:paraId="788BF006">
      <w:pPr>
        <w:pageBreakBefore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bCs w:val="0"/>
          <w:i w:val="0"/>
          <w:strike w:val="0"/>
          <w:color w:val="000000"/>
          <w:sz w:val="32"/>
          <w:u w:val="none"/>
        </w:rPr>
      </w:pPr>
      <w:r>
        <w:rPr>
          <w:rFonts w:hint="eastAsia" w:ascii="仿宋_GB2312" w:hAnsi="仿宋_GB2312" w:eastAsia="仿宋_GB2312" w:cs="仿宋_GB2312"/>
          <w:b w:val="0"/>
          <w:bCs w:val="0"/>
          <w:i w:val="0"/>
          <w:strike w:val="0"/>
          <w:color w:val="000000"/>
          <w:sz w:val="32"/>
          <w:u w:val="none"/>
          <w:lang w:val="en-US" w:eastAsia="zh-CN"/>
        </w:rPr>
        <w:t>1</w:t>
      </w:r>
      <w:r>
        <w:rPr>
          <w:rFonts w:hint="eastAsia" w:ascii="仿宋_GB2312" w:hAnsi="仿宋_GB2312" w:eastAsia="仿宋_GB2312" w:cs="仿宋_GB2312"/>
          <w:b w:val="0"/>
          <w:bCs w:val="0"/>
          <w:i w:val="0"/>
          <w:strike w:val="0"/>
          <w:color w:val="000000"/>
          <w:sz w:val="32"/>
          <w:u w:val="none"/>
        </w:rPr>
        <w:t>.对年度内市属公立医院新院区的运行予以财政补助和支持，帮助医院运营的顺利进行。</w:t>
      </w:r>
    </w:p>
    <w:p w14:paraId="1E76DDAF">
      <w:pPr>
        <w:pageBreakBefore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bCs w:val="0"/>
          <w:i w:val="0"/>
          <w:strike w:val="0"/>
          <w:color w:val="000000"/>
          <w:sz w:val="32"/>
          <w:u w:val="none"/>
        </w:rPr>
      </w:pPr>
      <w:r>
        <w:rPr>
          <w:rFonts w:hint="eastAsia" w:ascii="仿宋_GB2312" w:hAnsi="仿宋_GB2312" w:eastAsia="仿宋_GB2312" w:cs="仿宋_GB2312"/>
          <w:b w:val="0"/>
          <w:bCs w:val="0"/>
          <w:i w:val="0"/>
          <w:strike w:val="0"/>
          <w:color w:val="000000"/>
          <w:sz w:val="32"/>
          <w:u w:val="none"/>
          <w:lang w:val="en-US" w:eastAsia="zh-CN"/>
        </w:rPr>
        <w:t>2</w:t>
      </w:r>
      <w:r>
        <w:rPr>
          <w:rFonts w:hint="eastAsia" w:ascii="仿宋_GB2312" w:hAnsi="仿宋_GB2312" w:eastAsia="仿宋_GB2312" w:cs="仿宋_GB2312"/>
          <w:b w:val="0"/>
          <w:bCs w:val="0"/>
          <w:i w:val="0"/>
          <w:strike w:val="0"/>
          <w:color w:val="000000"/>
          <w:sz w:val="32"/>
          <w:u w:val="none"/>
        </w:rPr>
        <w:t>.资金专款专用，用于核心医院开展医联体建设的组织管理支出、信息化建设、下派专家的人力资源成本、联合病房建设费用、人员培训费用，进一步提高核心医院帮扶积极性，提升基层医疗服务能力水平。</w:t>
      </w:r>
    </w:p>
    <w:p w14:paraId="25270981">
      <w:pPr>
        <w:pageBreakBefore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bCs w:val="0"/>
          <w:i w:val="0"/>
          <w:strike w:val="0"/>
          <w:color w:val="000000"/>
          <w:sz w:val="32"/>
          <w:u w:val="none"/>
        </w:rPr>
      </w:pPr>
      <w:r>
        <w:rPr>
          <w:rFonts w:hint="eastAsia" w:ascii="仿宋_GB2312" w:hAnsi="仿宋_GB2312" w:eastAsia="仿宋_GB2312" w:cs="仿宋_GB2312"/>
          <w:b w:val="0"/>
          <w:bCs w:val="0"/>
          <w:i w:val="0"/>
          <w:strike w:val="0"/>
          <w:color w:val="000000"/>
          <w:sz w:val="32"/>
          <w:u w:val="none"/>
          <w:lang w:val="en-US" w:eastAsia="zh-CN"/>
        </w:rPr>
        <w:t>3</w:t>
      </w:r>
      <w:r>
        <w:rPr>
          <w:rFonts w:hint="eastAsia" w:ascii="仿宋_GB2312" w:hAnsi="仿宋_GB2312" w:eastAsia="仿宋_GB2312" w:cs="仿宋_GB2312"/>
          <w:b w:val="0"/>
          <w:bCs w:val="0"/>
          <w:i w:val="0"/>
          <w:strike w:val="0"/>
          <w:color w:val="000000"/>
          <w:sz w:val="32"/>
          <w:u w:val="none"/>
        </w:rPr>
        <w:t>.根据《南京市对口帮扶专项资金使用管理办法》，对援藏、援疆、援陕、援青医务人员进行生活补助。为对口帮扶医院为来宁进修人员提供住宿和餐费等费用。</w:t>
      </w:r>
    </w:p>
    <w:p w14:paraId="0C73D41E">
      <w:pPr>
        <w:pageBreakBefore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方正楷体_GBK" w:cs="仿宋_GB2312"/>
          <w:b w:val="0"/>
          <w:bCs w:val="0"/>
          <w:i w:val="0"/>
          <w:strike w:val="0"/>
          <w:color w:val="000000"/>
          <w:sz w:val="32"/>
          <w:u w:val="none"/>
          <w:lang w:val="en-US" w:eastAsia="zh-CN"/>
        </w:rPr>
      </w:pPr>
      <w:r>
        <w:rPr>
          <w:rFonts w:hint="eastAsia" w:ascii="仿宋_GB2312" w:hAnsi="仿宋_GB2312" w:eastAsia="仿宋_GB2312" w:cs="仿宋_GB2312"/>
          <w:b w:val="0"/>
          <w:bCs w:val="0"/>
          <w:i w:val="0"/>
          <w:strike w:val="0"/>
          <w:color w:val="000000"/>
          <w:sz w:val="32"/>
          <w:u w:val="none"/>
          <w:lang w:val="en-US" w:eastAsia="zh-CN"/>
        </w:rPr>
        <w:t>4.</w:t>
      </w:r>
      <w:r>
        <w:rPr>
          <w:rFonts w:hint="default" w:ascii="仿宋_GB2312" w:hAnsi="仿宋_GB2312" w:eastAsia="仿宋_GB2312" w:cs="仿宋_GB2312"/>
          <w:b w:val="0"/>
          <w:bCs w:val="0"/>
          <w:i w:val="0"/>
          <w:strike w:val="0"/>
          <w:color w:val="000000"/>
          <w:sz w:val="32"/>
          <w:u w:val="none"/>
        </w:rPr>
        <w:t>提升中医药服务能力</w:t>
      </w:r>
      <w:r>
        <w:rPr>
          <w:rFonts w:hint="eastAsia" w:ascii="仿宋_GB2312" w:hAnsi="仿宋_GB2312" w:eastAsia="仿宋_GB2312" w:cs="仿宋_GB2312"/>
          <w:b w:val="0"/>
          <w:bCs w:val="0"/>
          <w:i w:val="0"/>
          <w:strike w:val="0"/>
          <w:color w:val="000000"/>
          <w:sz w:val="32"/>
          <w:u w:val="none"/>
          <w:lang w:eastAsia="zh-CN"/>
        </w:rPr>
        <w:t>，</w:t>
      </w:r>
      <w:r>
        <w:rPr>
          <w:rFonts w:hint="default" w:ascii="仿宋_GB2312" w:hAnsi="仿宋_GB2312" w:eastAsia="仿宋_GB2312" w:cs="仿宋_GB2312"/>
          <w:b w:val="0"/>
          <w:bCs w:val="0"/>
          <w:i w:val="0"/>
          <w:strike w:val="0"/>
          <w:color w:val="000000"/>
          <w:sz w:val="32"/>
          <w:u w:val="none"/>
        </w:rPr>
        <w:t>壮大中医药人才队伍</w:t>
      </w:r>
      <w:r>
        <w:rPr>
          <w:rFonts w:hint="eastAsia" w:ascii="仿宋_GB2312" w:hAnsi="仿宋_GB2312" w:eastAsia="仿宋_GB2312" w:cs="仿宋_GB2312"/>
          <w:b w:val="0"/>
          <w:bCs w:val="0"/>
          <w:i w:val="0"/>
          <w:strike w:val="0"/>
          <w:color w:val="000000"/>
          <w:sz w:val="32"/>
          <w:u w:val="none"/>
          <w:lang w:eastAsia="zh-CN"/>
        </w:rPr>
        <w:t>，</w:t>
      </w:r>
      <w:r>
        <w:rPr>
          <w:rFonts w:hint="default" w:ascii="仿宋_GB2312" w:hAnsi="仿宋_GB2312" w:eastAsia="仿宋_GB2312" w:cs="仿宋_GB2312"/>
          <w:b w:val="0"/>
          <w:bCs w:val="0"/>
          <w:i w:val="0"/>
          <w:strike w:val="0"/>
          <w:color w:val="000000"/>
          <w:sz w:val="32"/>
          <w:u w:val="none"/>
        </w:rPr>
        <w:t>促进中医药技术</w:t>
      </w:r>
      <w:r>
        <w:rPr>
          <w:rFonts w:hint="default" w:ascii="仿宋_GB2312" w:hAnsi="仿宋_GB2312" w:eastAsia="仿宋_GB2312" w:cs="仿宋_GB2312"/>
          <w:b w:val="0"/>
          <w:bCs w:val="0"/>
          <w:i w:val="0"/>
          <w:strike w:val="0"/>
          <w:color w:val="000000"/>
          <w:sz w:val="32"/>
          <w:u w:val="none"/>
          <w:lang w:val="en-US" w:eastAsia="zh-CN"/>
        </w:rPr>
        <w:t>突破</w:t>
      </w:r>
      <w:r>
        <w:rPr>
          <w:rFonts w:hint="eastAsia" w:ascii="仿宋_GB2312" w:hAnsi="仿宋_GB2312" w:eastAsia="仿宋_GB2312" w:cs="仿宋_GB2312"/>
          <w:b w:val="0"/>
          <w:bCs w:val="0"/>
          <w:i w:val="0"/>
          <w:strike w:val="0"/>
          <w:color w:val="000000"/>
          <w:sz w:val="32"/>
          <w:u w:val="none"/>
          <w:lang w:val="en-US" w:eastAsia="zh-CN"/>
        </w:rPr>
        <w:t>，</w:t>
      </w:r>
      <w:r>
        <w:rPr>
          <w:rFonts w:hint="default" w:ascii="仿宋_GB2312" w:hAnsi="仿宋_GB2312" w:eastAsia="仿宋_GB2312" w:cs="仿宋_GB2312"/>
          <w:b w:val="0"/>
          <w:bCs w:val="0"/>
          <w:i w:val="0"/>
          <w:strike w:val="0"/>
          <w:color w:val="000000"/>
          <w:sz w:val="32"/>
          <w:u w:val="none"/>
        </w:rPr>
        <w:t>促进</w:t>
      </w:r>
      <w:r>
        <w:rPr>
          <w:rFonts w:hint="eastAsia" w:ascii="仿宋_GB2312" w:hAnsi="仿宋_GB2312" w:eastAsia="仿宋_GB2312" w:cs="仿宋_GB2312"/>
          <w:b w:val="0"/>
          <w:bCs w:val="0"/>
          <w:i w:val="0"/>
          <w:strike w:val="0"/>
          <w:color w:val="000000"/>
          <w:sz w:val="32"/>
          <w:u w:val="none"/>
          <w:lang w:eastAsia="zh-CN"/>
        </w:rPr>
        <w:t>中医</w:t>
      </w:r>
      <w:r>
        <w:rPr>
          <w:rFonts w:hint="default" w:ascii="仿宋_GB2312" w:hAnsi="仿宋_GB2312" w:eastAsia="仿宋_GB2312" w:cs="仿宋_GB2312"/>
          <w:b w:val="0"/>
          <w:bCs w:val="0"/>
          <w:i w:val="0"/>
          <w:strike w:val="0"/>
          <w:color w:val="000000"/>
          <w:sz w:val="32"/>
          <w:u w:val="none"/>
        </w:rPr>
        <w:t>优质资源新布局</w:t>
      </w:r>
      <w:r>
        <w:rPr>
          <w:rFonts w:hint="eastAsia" w:ascii="仿宋_GB2312" w:hAnsi="仿宋_GB2312" w:eastAsia="仿宋_GB2312" w:cs="仿宋_GB2312"/>
          <w:b w:val="0"/>
          <w:bCs w:val="0"/>
          <w:i w:val="0"/>
          <w:strike w:val="0"/>
          <w:color w:val="000000"/>
          <w:sz w:val="32"/>
          <w:u w:val="none"/>
          <w:lang w:eastAsia="zh-CN"/>
        </w:rPr>
        <w:t>。</w:t>
      </w:r>
    </w:p>
    <w:p w14:paraId="18CDFDA1">
      <w:pPr>
        <w:pageBreakBefore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bCs w:val="0"/>
          <w:i w:val="0"/>
          <w:strike w:val="0"/>
          <w:color w:val="000000"/>
          <w:sz w:val="32"/>
          <w:u w:val="none"/>
          <w:lang w:eastAsia="zh-CN"/>
        </w:rPr>
      </w:pPr>
      <w:r>
        <w:rPr>
          <w:rFonts w:hint="eastAsia" w:ascii="仿宋_GB2312" w:hAnsi="仿宋_GB2312" w:eastAsia="仿宋_GB2312" w:cs="仿宋_GB2312"/>
          <w:b w:val="0"/>
          <w:bCs w:val="0"/>
          <w:i w:val="0"/>
          <w:strike w:val="0"/>
          <w:color w:val="000000"/>
          <w:sz w:val="32"/>
          <w:u w:val="none"/>
          <w:lang w:val="en-US" w:eastAsia="zh-CN"/>
        </w:rPr>
        <w:t>5</w:t>
      </w:r>
      <w:r>
        <w:rPr>
          <w:rFonts w:hint="eastAsia" w:ascii="仿宋_GB2312" w:hAnsi="仿宋_GB2312" w:eastAsia="仿宋_GB2312" w:cs="仿宋_GB2312"/>
          <w:b w:val="0"/>
          <w:bCs w:val="0"/>
          <w:i w:val="0"/>
          <w:strike w:val="0"/>
          <w:color w:val="000000"/>
          <w:sz w:val="32"/>
          <w:u w:val="none"/>
        </w:rPr>
        <w:t>.市属公立医院继续全面实行药品零差率销售。</w:t>
      </w:r>
    </w:p>
    <w:p w14:paraId="36857DB1">
      <w:pPr>
        <w:pageBreakBefore w:val="0"/>
        <w:widowControl/>
        <w:kinsoku/>
        <w:wordWrap/>
        <w:overflowPunct/>
        <w:topLinePunct w:val="0"/>
        <w:autoSpaceDE/>
        <w:autoSpaceDN/>
        <w:bidi w:val="0"/>
        <w:adjustRightInd/>
        <w:spacing w:line="540" w:lineRule="exact"/>
        <w:ind w:firstLine="640" w:firstLineChars="200"/>
        <w:jc w:val="left"/>
        <w:textAlignment w:val="auto"/>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二、评价结论</w:t>
      </w:r>
    </w:p>
    <w:p w14:paraId="6E6D243C">
      <w:pPr>
        <w:keepNext w:val="0"/>
        <w:keepLines w:val="0"/>
        <w:pageBreakBefore w:val="0"/>
        <w:kinsoku/>
        <w:wordWrap/>
        <w:overflowPunct/>
        <w:topLinePunct w:val="0"/>
        <w:autoSpaceDE w:val="0"/>
        <w:autoSpaceDN/>
        <w:bidi w:val="0"/>
        <w:adjustRightInd/>
        <w:snapToGrid/>
        <w:spacing w:line="300" w:lineRule="auto"/>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（一）评价对象</w:t>
      </w:r>
    </w:p>
    <w:p w14:paraId="2DB1E42C">
      <w:pPr>
        <w:keepNext w:val="0"/>
        <w:keepLines w:val="0"/>
        <w:pageBreakBefore w:val="0"/>
        <w:widowControl w:val="0"/>
        <w:kinsoku/>
        <w:wordWrap/>
        <w:overflowPunct/>
        <w:topLinePunct w:val="0"/>
        <w:autoSpaceDE w:val="0"/>
        <w:autoSpaceDN/>
        <w:bidi w:val="0"/>
        <w:adjustRightInd/>
        <w:snapToGrid/>
        <w:spacing w:line="30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各项目实施医疗机构等。</w:t>
      </w:r>
    </w:p>
    <w:p w14:paraId="7DEC8675">
      <w:pPr>
        <w:keepNext w:val="0"/>
        <w:keepLines w:val="0"/>
        <w:pageBreakBefore w:val="0"/>
        <w:kinsoku/>
        <w:wordWrap/>
        <w:overflowPunct/>
        <w:topLinePunct w:val="0"/>
        <w:autoSpaceDE w:val="0"/>
        <w:autoSpaceDN/>
        <w:bidi w:val="0"/>
        <w:adjustRightInd/>
        <w:snapToGrid/>
        <w:spacing w:line="300" w:lineRule="auto"/>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（二）评价范围</w:t>
      </w:r>
    </w:p>
    <w:p w14:paraId="16CAD4C8">
      <w:pPr>
        <w:keepNext w:val="0"/>
        <w:keepLines w:val="0"/>
        <w:pageBreakBefore w:val="0"/>
        <w:widowControl/>
        <w:kinsoku/>
        <w:wordWrap/>
        <w:topLinePunct w:val="0"/>
        <w:autoSpaceDN/>
        <w:bidi w:val="0"/>
        <w:adjustRightInd/>
        <w:snapToGrid/>
        <w:spacing w:line="300" w:lineRule="auto"/>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主要对项目的</w:t>
      </w:r>
      <w:r>
        <w:rPr>
          <w:rFonts w:hint="eastAsia" w:ascii="仿宋_GB2312" w:hAnsi="仿宋_GB2312" w:eastAsia="仿宋_GB2312" w:cs="仿宋_GB2312"/>
          <w:b w:val="0"/>
          <w:bCs w:val="0"/>
          <w:sz w:val="32"/>
          <w:szCs w:val="32"/>
          <w:lang w:eastAsia="zh-CN"/>
        </w:rPr>
        <w:t>决策、过程、产出、效益</w:t>
      </w:r>
      <w:r>
        <w:rPr>
          <w:rFonts w:hint="eastAsia" w:ascii="仿宋_GB2312" w:hAnsi="仿宋_GB2312" w:eastAsia="仿宋_GB2312" w:cs="仿宋_GB2312"/>
          <w:b w:val="0"/>
          <w:bCs w:val="0"/>
          <w:sz w:val="32"/>
          <w:szCs w:val="32"/>
        </w:rPr>
        <w:t>四类指标进行绩效评价。</w:t>
      </w:r>
    </w:p>
    <w:p w14:paraId="77A8ED01">
      <w:pPr>
        <w:keepNext w:val="0"/>
        <w:keepLines w:val="0"/>
        <w:pageBreakBefore w:val="0"/>
        <w:kinsoku/>
        <w:wordWrap/>
        <w:overflowPunct/>
        <w:topLinePunct w:val="0"/>
        <w:autoSpaceDE w:val="0"/>
        <w:autoSpaceDN/>
        <w:bidi w:val="0"/>
        <w:adjustRightInd/>
        <w:snapToGrid/>
        <w:spacing w:line="300" w:lineRule="auto"/>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（三）评价结论</w:t>
      </w:r>
    </w:p>
    <w:p w14:paraId="7916A865">
      <w:pPr>
        <w:keepNext w:val="0"/>
        <w:keepLines w:val="0"/>
        <w:pageBreakBefore w:val="0"/>
        <w:widowControl/>
        <w:kinsoku/>
        <w:wordWrap/>
        <w:topLinePunct w:val="0"/>
        <w:autoSpaceDN/>
        <w:bidi w:val="0"/>
        <w:adjustRightInd/>
        <w:snapToGrid/>
        <w:spacing w:line="300" w:lineRule="auto"/>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i w:val="0"/>
          <w:strike w:val="0"/>
          <w:color w:val="000000"/>
          <w:sz w:val="32"/>
          <w:u w:val="none"/>
        </w:rPr>
        <w:t>市卫健委负责资金的分配、审核、绩效评估、检查项目单位资金配套到位情况及资金使用情况的监督检查；各用款单位负责组织项目实施，落实项目推进和资金使用进度，确保资金专款专用，及时提供核算凭证，并确保核算凭证真实、完整，按要求开展绩效自评工作，确保项目资金绩效达到预期目标。</w:t>
      </w:r>
      <w:r>
        <w:rPr>
          <w:rFonts w:hint="eastAsia" w:ascii="仿宋_GB2312" w:hAnsi="仿宋_GB2312" w:eastAsia="仿宋_GB2312" w:cs="仿宋_GB2312"/>
          <w:b w:val="0"/>
          <w:bCs w:val="0"/>
          <w:i w:val="0"/>
          <w:strike w:val="0"/>
          <w:color w:val="000000"/>
          <w:sz w:val="32"/>
          <w:u w:val="none"/>
          <w:lang w:eastAsia="zh-CN"/>
        </w:rPr>
        <w:t>该</w:t>
      </w:r>
      <w:r>
        <w:rPr>
          <w:rFonts w:hint="eastAsia" w:ascii="仿宋_GB2312" w:hAnsi="仿宋_GB2312" w:eastAsia="仿宋_GB2312" w:cs="仿宋_GB2312"/>
          <w:b w:val="0"/>
          <w:bCs w:val="0"/>
          <w:sz w:val="32"/>
          <w:szCs w:val="32"/>
        </w:rPr>
        <w:t>项目</w:t>
      </w:r>
      <w:r>
        <w:rPr>
          <w:rFonts w:hint="eastAsia" w:ascii="仿宋_GB2312" w:hAnsi="仿宋_GB2312" w:eastAsia="仿宋_GB2312" w:cs="仿宋_GB2312"/>
          <w:b w:val="0"/>
          <w:bCs w:val="0"/>
          <w:sz w:val="32"/>
          <w:szCs w:val="32"/>
          <w:lang w:val="en-US" w:eastAsia="zh-CN"/>
        </w:rPr>
        <w:t>2024年度</w:t>
      </w:r>
      <w:r>
        <w:rPr>
          <w:rFonts w:hint="eastAsia" w:ascii="仿宋_GB2312" w:hAnsi="仿宋_GB2312" w:eastAsia="仿宋_GB2312" w:cs="仿宋_GB2312"/>
          <w:b w:val="0"/>
          <w:bCs w:val="0"/>
          <w:sz w:val="32"/>
          <w:szCs w:val="32"/>
          <w:lang w:eastAsia="zh-CN"/>
        </w:rPr>
        <w:t>绩效</w:t>
      </w:r>
      <w:r>
        <w:rPr>
          <w:rFonts w:hint="eastAsia" w:ascii="仿宋_GB2312" w:hAnsi="仿宋_GB2312" w:eastAsia="仿宋_GB2312" w:cs="仿宋_GB2312"/>
          <w:b w:val="0"/>
          <w:bCs w:val="0"/>
          <w:sz w:val="32"/>
          <w:szCs w:val="32"/>
        </w:rPr>
        <w:t>目标总体完成</w:t>
      </w:r>
      <w:r>
        <w:rPr>
          <w:rFonts w:hint="eastAsia" w:ascii="仿宋_GB2312" w:hAnsi="仿宋_GB2312" w:eastAsia="仿宋_GB2312" w:cs="仿宋_GB2312"/>
          <w:b w:val="0"/>
          <w:bCs w:val="0"/>
          <w:sz w:val="32"/>
          <w:szCs w:val="32"/>
          <w:lang w:eastAsia="zh-CN"/>
        </w:rPr>
        <w:t>。</w:t>
      </w:r>
    </w:p>
    <w:p w14:paraId="019CA9F4">
      <w:pPr>
        <w:keepNext w:val="0"/>
        <w:keepLines w:val="0"/>
        <w:pageBreakBefore w:val="0"/>
        <w:kinsoku/>
        <w:wordWrap/>
        <w:overflowPunct/>
        <w:topLinePunct w:val="0"/>
        <w:autoSpaceDE w:val="0"/>
        <w:autoSpaceDN/>
        <w:bidi w:val="0"/>
        <w:adjustRightInd/>
        <w:snapToGrid/>
        <w:spacing w:line="300" w:lineRule="auto"/>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（四）评分结果</w:t>
      </w:r>
    </w:p>
    <w:p w14:paraId="23E99142">
      <w:pPr>
        <w:keepNext w:val="0"/>
        <w:keepLines w:val="0"/>
        <w:pageBreakBefore w:val="0"/>
        <w:numPr>
          <w:ilvl w:val="0"/>
          <w:numId w:val="0"/>
        </w:numPr>
        <w:kinsoku/>
        <w:wordWrap/>
        <w:topLinePunct w:val="0"/>
        <w:autoSpaceDN/>
        <w:bidi w:val="0"/>
        <w:adjustRightInd/>
        <w:snapToGrid/>
        <w:spacing w:line="300" w:lineRule="auto"/>
        <w:ind w:leftChars="20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自评得</w:t>
      </w:r>
      <w:r>
        <w:rPr>
          <w:rFonts w:hint="eastAsia" w:ascii="仿宋_GB2312" w:hAnsi="仿宋_GB2312" w:eastAsia="仿宋_GB2312" w:cs="仿宋_GB2312"/>
          <w:b w:val="0"/>
          <w:bCs w:val="0"/>
          <w:color w:val="auto"/>
          <w:sz w:val="32"/>
          <w:szCs w:val="32"/>
          <w:lang w:val="en-US" w:eastAsia="zh-CN"/>
        </w:rPr>
        <w:t>分98</w:t>
      </w:r>
      <w:r>
        <w:rPr>
          <w:rFonts w:hint="eastAsia" w:ascii="仿宋_GB2312" w:hAnsi="仿宋_GB2312" w:eastAsia="仿宋_GB2312" w:cs="仿宋_GB2312"/>
          <w:b w:val="0"/>
          <w:bCs w:val="0"/>
          <w:sz w:val="32"/>
          <w:szCs w:val="32"/>
          <w:lang w:val="en-US" w:eastAsia="zh-CN"/>
        </w:rPr>
        <w:t>分，等级“优”（详情见附件）</w:t>
      </w:r>
    </w:p>
    <w:p w14:paraId="66A28166">
      <w:pPr>
        <w:pageBreakBefore w:val="0"/>
        <w:widowControl/>
        <w:kinsoku/>
        <w:wordWrap/>
        <w:overflowPunct/>
        <w:topLinePunct w:val="0"/>
        <w:autoSpaceDE/>
        <w:autoSpaceDN/>
        <w:bidi w:val="0"/>
        <w:adjustRightInd/>
        <w:spacing w:line="540" w:lineRule="exact"/>
        <w:ind w:firstLine="640" w:firstLineChars="200"/>
        <w:jc w:val="left"/>
        <w:textAlignment w:val="auto"/>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lang w:eastAsia="zh-CN"/>
        </w:rPr>
        <w:t>三、</w:t>
      </w:r>
      <w:r>
        <w:rPr>
          <w:rFonts w:hint="eastAsia" w:ascii="黑体" w:hAnsi="黑体" w:eastAsia="黑体" w:cs="黑体"/>
          <w:b w:val="0"/>
          <w:bCs w:val="0"/>
          <w:color w:val="000000"/>
          <w:kern w:val="0"/>
          <w:sz w:val="32"/>
          <w:szCs w:val="32"/>
        </w:rPr>
        <w:t>项目成效</w:t>
      </w:r>
    </w:p>
    <w:p w14:paraId="236B6D85">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i w:val="0"/>
          <w:strike w:val="0"/>
          <w:color w:val="000000"/>
          <w:sz w:val="32"/>
          <w:u w:val="none"/>
          <w:lang w:eastAsia="zh-CN"/>
        </w:rPr>
      </w:pPr>
      <w:r>
        <w:rPr>
          <w:rFonts w:hint="eastAsia" w:ascii="仿宋_GB2312" w:hAnsi="仿宋_GB2312" w:eastAsia="仿宋_GB2312" w:cs="仿宋_GB2312"/>
          <w:b w:val="0"/>
          <w:bCs w:val="0"/>
          <w:i w:val="0"/>
          <w:strike w:val="0"/>
          <w:color w:val="000000"/>
          <w:sz w:val="32"/>
          <w:u w:val="none"/>
          <w:lang w:eastAsia="zh-CN"/>
        </w:rPr>
        <w:t>（一）市妇幼保健院丁家庄院区建设工作按时推进。</w:t>
      </w:r>
    </w:p>
    <w:p w14:paraId="6A98AF3B">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Style w:val="14"/>
          <w:rFonts w:hint="eastAsia" w:ascii="仿宋" w:hAnsi="仿宋" w:eastAsia="仿宋" w:cs="方正书宋_GBK"/>
          <w:b w:val="0"/>
          <w:bCs w:val="0"/>
          <w:i w:val="0"/>
          <w:caps w:val="0"/>
          <w:color w:val="auto"/>
          <w:spacing w:val="0"/>
          <w:w w:val="100"/>
          <w:sz w:val="32"/>
          <w:szCs w:val="32"/>
          <w:lang w:val="en-US" w:eastAsia="zh-CN"/>
        </w:rPr>
      </w:pPr>
      <w:r>
        <w:rPr>
          <w:rFonts w:hint="eastAsia" w:ascii="仿宋_GB2312" w:hAnsi="仿宋_GB2312" w:eastAsia="仿宋_GB2312" w:cs="仿宋_GB2312"/>
          <w:b w:val="0"/>
          <w:bCs w:val="0"/>
          <w:i w:val="0"/>
          <w:strike w:val="0"/>
          <w:color w:val="000000"/>
          <w:sz w:val="32"/>
          <w:u w:val="none"/>
          <w:lang w:eastAsia="zh-CN"/>
        </w:rPr>
        <w:t>院区</w:t>
      </w:r>
      <w:r>
        <w:rPr>
          <w:rStyle w:val="14"/>
          <w:rFonts w:hint="eastAsia" w:ascii="仿宋" w:hAnsi="仿宋" w:eastAsia="仿宋" w:cs="方正书宋_GBK"/>
          <w:b w:val="0"/>
          <w:bCs w:val="0"/>
          <w:i w:val="0"/>
          <w:caps w:val="0"/>
          <w:color w:val="auto"/>
          <w:spacing w:val="0"/>
          <w:w w:val="100"/>
          <w:sz w:val="32"/>
          <w:szCs w:val="32"/>
          <w:lang w:val="en-US" w:eastAsia="zh-CN"/>
        </w:rPr>
        <w:t>门诊楼、病房楼、综合楼完成验收、交付就好，并于2024年9月开始运营。</w:t>
      </w:r>
    </w:p>
    <w:p w14:paraId="6F06A483">
      <w:pPr>
        <w:keepNext w:val="0"/>
        <w:keepLines w:val="0"/>
        <w:pageBreakBefore w:val="0"/>
        <w:widowControl/>
        <w:numPr>
          <w:ilvl w:val="0"/>
          <w:numId w:val="1"/>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i w:val="0"/>
          <w:strike w:val="0"/>
          <w:color w:val="000000"/>
          <w:sz w:val="32"/>
          <w:u w:val="none"/>
          <w:lang w:eastAsia="zh-CN"/>
        </w:rPr>
      </w:pPr>
      <w:r>
        <w:rPr>
          <w:rFonts w:hint="eastAsia" w:ascii="仿宋_GB2312" w:hAnsi="仿宋_GB2312" w:eastAsia="仿宋_GB2312" w:cs="仿宋_GB2312"/>
          <w:b w:val="0"/>
          <w:bCs w:val="0"/>
          <w:i w:val="0"/>
          <w:strike w:val="0"/>
          <w:color w:val="000000"/>
          <w:sz w:val="32"/>
          <w:u w:val="none"/>
        </w:rPr>
        <w:t>医联体建设</w:t>
      </w:r>
      <w:r>
        <w:rPr>
          <w:rFonts w:hint="eastAsia" w:ascii="仿宋_GB2312" w:hAnsi="仿宋_GB2312" w:eastAsia="仿宋_GB2312" w:cs="仿宋_GB2312"/>
          <w:b w:val="0"/>
          <w:bCs w:val="0"/>
          <w:i w:val="0"/>
          <w:strike w:val="0"/>
          <w:color w:val="000000"/>
          <w:sz w:val="32"/>
          <w:u w:val="none"/>
          <w:lang w:eastAsia="zh-CN"/>
        </w:rPr>
        <w:t>工作</w:t>
      </w:r>
    </w:p>
    <w:p w14:paraId="20999115">
      <w:pPr>
        <w:keepNext w:val="0"/>
        <w:keepLines w:val="0"/>
        <w:pageBreakBefore w:val="0"/>
        <w:widowControl/>
        <w:numPr>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i w:val="0"/>
          <w:strike w:val="0"/>
          <w:color w:val="000000"/>
          <w:sz w:val="32"/>
          <w:u w:val="none"/>
          <w:lang w:val="en-US" w:eastAsia="zh-CN"/>
        </w:rPr>
      </w:pPr>
      <w:r>
        <w:rPr>
          <w:rFonts w:hint="eastAsia" w:ascii="仿宋_GB2312" w:hAnsi="仿宋_GB2312" w:eastAsia="仿宋_GB2312" w:cs="仿宋_GB2312"/>
          <w:b w:val="0"/>
          <w:bCs w:val="0"/>
          <w:i w:val="0"/>
          <w:strike w:val="0"/>
          <w:color w:val="000000"/>
          <w:sz w:val="32"/>
          <w:u w:val="none"/>
          <w:lang w:val="en-US" w:eastAsia="zh-CN"/>
        </w:rPr>
        <w:t>一是持续加强城市医联体建设。通过府院合作等多种模式，牵头医院向基层派驻管理和专家团队，开展技术帮扶。2024年前三季度，下派专家3.5万余人次，提升了基层服务水平。还指导市中西医结合医院成立南京都市圈淋巴结结核专科联盟。二是探索建立“以病种为路径”的城市医疗网格。依托医联体牵头医院平台，围绕常见疾病和专科，推动号源下沉、双向转诊等服务。三是注重总结交流。下发通知征集典型案例，召开分享会，分享经验、交流做法、部署任务。五是开展医联体项目化管理。实施基层百名儿科医生能力提升工程，以临床轮训等方式，开展为期一年的转岗培训，提升基层儿童医疗服务能力。</w:t>
      </w:r>
    </w:p>
    <w:p w14:paraId="25177271">
      <w:pPr>
        <w:keepNext w:val="0"/>
        <w:keepLines w:val="0"/>
        <w:pageBreakBefore w:val="0"/>
        <w:widowControl/>
        <w:numPr>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i w:val="0"/>
          <w:strike w:val="0"/>
          <w:color w:val="000000"/>
          <w:sz w:val="32"/>
          <w:u w:val="none"/>
          <w:lang w:val="en-US" w:eastAsia="zh-CN"/>
        </w:rPr>
      </w:pPr>
      <w:r>
        <w:rPr>
          <w:rFonts w:hint="eastAsia" w:ascii="仿宋_GB2312" w:hAnsi="仿宋_GB2312" w:eastAsia="仿宋_GB2312" w:cs="仿宋_GB2312"/>
          <w:b w:val="0"/>
          <w:bCs w:val="0"/>
          <w:i w:val="0"/>
          <w:strike w:val="0"/>
          <w:color w:val="000000"/>
          <w:sz w:val="32"/>
          <w:u w:val="none"/>
          <w:lang w:val="en-US" w:eastAsia="zh-CN"/>
        </w:rPr>
        <w:t>（三）对口支援工作</w:t>
      </w:r>
    </w:p>
    <w:p w14:paraId="0925BB53">
      <w:pPr>
        <w:keepNext w:val="0"/>
        <w:keepLines w:val="0"/>
        <w:pageBreakBefore w:val="0"/>
        <w:widowControl/>
        <w:numPr>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i w:val="0"/>
          <w:strike w:val="0"/>
          <w:color w:val="000000"/>
          <w:sz w:val="32"/>
          <w:u w:val="none"/>
          <w:lang w:val="en-US" w:eastAsia="zh-CN"/>
        </w:rPr>
      </w:pPr>
      <w:r>
        <w:rPr>
          <w:rFonts w:hint="eastAsia" w:ascii="仿宋_GB2312" w:hAnsi="仿宋_GB2312" w:eastAsia="仿宋_GB2312" w:cs="仿宋_GB2312"/>
          <w:b w:val="0"/>
          <w:bCs w:val="0"/>
          <w:i w:val="0"/>
          <w:strike w:val="0"/>
          <w:color w:val="000000"/>
          <w:sz w:val="32"/>
          <w:u w:val="none"/>
          <w:lang w:val="en-US" w:eastAsia="zh-CN"/>
        </w:rPr>
        <w:t>一是继续做好组团式帮扶。根据国家、省有关要求，下发《关于做好2024年度“组团式”帮扶国家乡村振兴重点帮扶县医院医疗人才轮换工作的通知》，完成2024年度“组团式”帮扶医疗人才选派与轮换。二是持续做好卫生健康对口支援工作。2024年，各市属医疗机构相继派出89名医务人员支援陕西、青海、西藏、新疆、淮安等地，各支援医院选派经验丰富的卫生专业技术人员在受援医院累计开展门急诊8977人次、病房查房973人次、会诊99次、疑难危重症病例讨论62次、抢救危重急症患者80人、开展适宜新技术和新项目84个、手术1707台次、开展培训174场次、培训3516人次，开展义诊巡诊32次、惠及1837人次。三是继续做好省内结对帮扶工作。指导鼓楼医院、市第一医院分别结对帮扶淮安市第一人民医院、涟水县人民医院建设区域医疗中心工作。</w:t>
      </w:r>
    </w:p>
    <w:p w14:paraId="6082F73F">
      <w:pPr>
        <w:keepNext w:val="0"/>
        <w:keepLines w:val="0"/>
        <w:pageBreakBefore w:val="0"/>
        <w:widowControl/>
        <w:numPr>
          <w:ilvl w:val="0"/>
          <w:numId w:val="1"/>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val="0"/>
          <w:i w:val="0"/>
          <w:strike w:val="0"/>
          <w:color w:val="000000"/>
          <w:sz w:val="32"/>
          <w:u w:val="none"/>
          <w:lang w:val="en-US" w:eastAsia="zh-CN"/>
        </w:rPr>
      </w:pPr>
      <w:r>
        <w:rPr>
          <w:rFonts w:hint="eastAsia" w:ascii="仿宋_GB2312" w:hAnsi="仿宋_GB2312" w:eastAsia="仿宋_GB2312" w:cs="仿宋_GB2312"/>
          <w:b w:val="0"/>
          <w:bCs w:val="0"/>
          <w:i w:val="0"/>
          <w:strike w:val="0"/>
          <w:color w:val="000000"/>
          <w:sz w:val="32"/>
          <w:u w:val="none"/>
          <w:lang w:val="en-US" w:eastAsia="zh-CN"/>
        </w:rPr>
        <w:t>中医药传承创新发展工作</w:t>
      </w:r>
    </w:p>
    <w:p w14:paraId="547D2BFD">
      <w:pPr>
        <w:keepNext w:val="0"/>
        <w:keepLines w:val="0"/>
        <w:pageBreakBefore w:val="0"/>
        <w:numPr>
          <w:ilvl w:val="0"/>
          <w:numId w:val="0"/>
        </w:numPr>
        <w:kinsoku/>
        <w:wordWrap/>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楷体_GBK" w:cs="Times New Roman"/>
          <w:b w:val="0"/>
          <w:bCs w:val="0"/>
          <w:sz w:val="32"/>
          <w:szCs w:val="32"/>
          <w:lang w:eastAsia="zh-CN"/>
        </w:rPr>
        <w:t>（</w:t>
      </w:r>
      <w:r>
        <w:rPr>
          <w:rFonts w:hint="default" w:ascii="Times New Roman" w:hAnsi="Times New Roman" w:eastAsia="方正楷体_GBK" w:cs="Times New Roman"/>
          <w:b w:val="0"/>
          <w:bCs w:val="0"/>
          <w:sz w:val="32"/>
          <w:szCs w:val="32"/>
          <w:lang w:val="en-US" w:eastAsia="zh-CN"/>
        </w:rPr>
        <w:t>1</w:t>
      </w:r>
      <w:r>
        <w:rPr>
          <w:rFonts w:hint="default" w:ascii="Times New Roman" w:hAnsi="Times New Roman" w:eastAsia="方正楷体_GBK" w:cs="Times New Roman"/>
          <w:b w:val="0"/>
          <w:bCs w:val="0"/>
          <w:sz w:val="32"/>
          <w:szCs w:val="32"/>
          <w:lang w:eastAsia="zh-CN"/>
        </w:rPr>
        <w:t>）</w:t>
      </w:r>
      <w:r>
        <w:rPr>
          <w:rFonts w:hint="eastAsia" w:ascii="方正楷体_GBK" w:hAnsi="方正楷体_GBK" w:eastAsia="方正楷体_GBK" w:cs="方正楷体_GBK"/>
          <w:b w:val="0"/>
          <w:bCs w:val="0"/>
          <w:sz w:val="32"/>
          <w:szCs w:val="32"/>
        </w:rPr>
        <w:t>优化</w:t>
      </w:r>
      <w:r>
        <w:rPr>
          <w:rFonts w:hint="default" w:ascii="Times New Roman" w:hAnsi="Times New Roman" w:eastAsia="方正楷体_GBK" w:cs="Times New Roman"/>
          <w:b w:val="0"/>
          <w:bCs w:val="0"/>
          <w:sz w:val="32"/>
          <w:szCs w:val="32"/>
        </w:rPr>
        <w:t>资源，提升中医药服务能力。</w:t>
      </w:r>
      <w:r>
        <w:rPr>
          <w:rFonts w:hint="default" w:ascii="Times New Roman" w:hAnsi="Times New Roman" w:eastAsia="方正仿宋_GBK" w:cs="Times New Roman"/>
          <w:b w:val="0"/>
          <w:bCs w:val="0"/>
          <w:sz w:val="32"/>
          <w:szCs w:val="32"/>
        </w:rPr>
        <w:t>一</w:t>
      </w:r>
      <w:r>
        <w:rPr>
          <w:rFonts w:hint="default" w:ascii="Times New Roman" w:hAnsi="Times New Roman" w:eastAsia="方正仿宋_GBK" w:cs="Times New Roman"/>
          <w:b w:val="0"/>
          <w:bCs w:val="0"/>
          <w:sz w:val="32"/>
          <w:szCs w:val="32"/>
        </w:rPr>
        <w:t>是中医院综合实力显著</w:t>
      </w:r>
      <w:r>
        <w:rPr>
          <w:rFonts w:hint="default" w:ascii="Times New Roman" w:hAnsi="Times New Roman" w:eastAsia="方正仿宋_GBK" w:cs="Times New Roman"/>
          <w:b w:val="0"/>
          <w:bCs w:val="0"/>
          <w:sz w:val="32"/>
          <w:szCs w:val="32"/>
          <w:lang w:val="en-US" w:eastAsia="zh-CN"/>
        </w:rPr>
        <w:t>增强</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color w:val="000000"/>
          <w:kern w:val="0"/>
          <w:sz w:val="32"/>
          <w:szCs w:val="32"/>
          <w:highlight w:val="none"/>
          <w:lang w:bidi="ar"/>
        </w:rPr>
        <w:t>2024年</w:t>
      </w:r>
      <w:r>
        <w:rPr>
          <w:rFonts w:hint="default" w:ascii="Times New Roman" w:hAnsi="Times New Roman" w:eastAsia="方正仿宋_GBK" w:cs="Times New Roman"/>
          <w:b w:val="0"/>
          <w:bCs w:val="0"/>
          <w:color w:val="000000"/>
          <w:kern w:val="0"/>
          <w:sz w:val="32"/>
          <w:szCs w:val="32"/>
          <w:highlight w:val="none"/>
          <w:lang w:val="en-US" w:eastAsia="zh-CN" w:bidi="ar"/>
        </w:rPr>
        <w:t>全市11所</w:t>
      </w:r>
      <w:r>
        <w:rPr>
          <w:rFonts w:hint="default" w:ascii="Times New Roman" w:hAnsi="Times New Roman" w:eastAsia="方正仿宋_GBK" w:cs="Times New Roman"/>
          <w:b w:val="0"/>
          <w:bCs w:val="0"/>
          <w:color w:val="000000"/>
          <w:kern w:val="0"/>
          <w:sz w:val="32"/>
          <w:szCs w:val="32"/>
          <w:highlight w:val="none"/>
          <w:lang w:bidi="ar"/>
        </w:rPr>
        <w:t>公立中医院门诊和住院人次</w:t>
      </w:r>
      <w:r>
        <w:rPr>
          <w:rFonts w:hint="default" w:ascii="Times New Roman" w:hAnsi="Times New Roman" w:eastAsia="方正仿宋_GBK" w:cs="Times New Roman"/>
          <w:b w:val="0"/>
          <w:bCs w:val="0"/>
          <w:color w:val="000000"/>
          <w:kern w:val="0"/>
          <w:sz w:val="32"/>
          <w:szCs w:val="32"/>
          <w:highlight w:val="none"/>
          <w:lang w:val="en-US" w:eastAsia="zh-CN" w:bidi="ar"/>
        </w:rPr>
        <w:t>同比</w:t>
      </w:r>
      <w:r>
        <w:rPr>
          <w:rFonts w:hint="default" w:ascii="Times New Roman" w:hAnsi="Times New Roman" w:eastAsia="方正仿宋_GBK" w:cs="Times New Roman"/>
          <w:b w:val="0"/>
          <w:bCs w:val="0"/>
          <w:color w:val="000000"/>
          <w:kern w:val="0"/>
          <w:sz w:val="32"/>
          <w:szCs w:val="32"/>
          <w:highlight w:val="none"/>
          <w:lang w:bidi="ar"/>
        </w:rPr>
        <w:t>分别增长</w:t>
      </w:r>
      <w:r>
        <w:rPr>
          <w:rFonts w:hint="default" w:ascii="Times New Roman" w:hAnsi="Times New Roman" w:eastAsia="方正仿宋_GBK" w:cs="Times New Roman"/>
          <w:b w:val="0"/>
          <w:bCs w:val="0"/>
          <w:color w:val="000000"/>
          <w:kern w:val="0"/>
          <w:sz w:val="32"/>
          <w:szCs w:val="32"/>
          <w:highlight w:val="none"/>
          <w:lang w:val="en-US" w:eastAsia="zh-CN" w:bidi="ar"/>
        </w:rPr>
        <w:t>20.33%、6.7%</w:t>
      </w:r>
      <w:r>
        <w:rPr>
          <w:rFonts w:hint="default" w:ascii="Times New Roman" w:hAnsi="Times New Roman" w:eastAsia="方正仿宋_GBK" w:cs="Times New Roman"/>
          <w:b w:val="0"/>
          <w:bCs w:val="0"/>
          <w:color w:val="000000"/>
          <w:kern w:val="0"/>
          <w:sz w:val="32"/>
          <w:szCs w:val="32"/>
          <w:highlight w:val="none"/>
          <w:lang w:bidi="ar"/>
        </w:rPr>
        <w:t>。</w:t>
      </w:r>
      <w:r>
        <w:rPr>
          <w:rFonts w:hint="default" w:ascii="Times New Roman" w:hAnsi="Times New Roman" w:eastAsia="方正仿宋_GBK" w:cs="Times New Roman"/>
          <w:b w:val="0"/>
          <w:bCs w:val="0"/>
          <w:sz w:val="32"/>
          <w:szCs w:val="32"/>
        </w:rPr>
        <w:t>新增省级中医重点专科19个，</w:t>
      </w:r>
      <w:r>
        <w:rPr>
          <w:rFonts w:hint="default" w:ascii="Times New Roman" w:hAnsi="Times New Roman" w:eastAsia="方正仿宋_GBK" w:cs="Times New Roman"/>
          <w:b w:val="0"/>
          <w:bCs w:val="0"/>
          <w:color w:val="000000"/>
          <w:kern w:val="0"/>
          <w:sz w:val="32"/>
          <w:szCs w:val="32"/>
          <w:lang w:bidi="ar"/>
        </w:rPr>
        <w:t>2</w:t>
      </w:r>
      <w:r>
        <w:rPr>
          <w:rFonts w:hint="default" w:ascii="Times New Roman" w:hAnsi="Times New Roman" w:eastAsia="方正仿宋_GBK" w:cs="Times New Roman"/>
          <w:b w:val="0"/>
          <w:bCs w:val="0"/>
          <w:color w:val="000000"/>
          <w:kern w:val="0"/>
          <w:sz w:val="32"/>
          <w:szCs w:val="32"/>
          <w:lang w:val="en-US" w:eastAsia="zh-CN" w:bidi="ar"/>
        </w:rPr>
        <w:t>8</w:t>
      </w:r>
      <w:r>
        <w:rPr>
          <w:rFonts w:hint="default" w:ascii="Times New Roman" w:hAnsi="Times New Roman" w:eastAsia="方正仿宋_GBK" w:cs="Times New Roman"/>
          <w:b w:val="0"/>
          <w:bCs w:val="0"/>
          <w:color w:val="000000"/>
          <w:kern w:val="0"/>
          <w:sz w:val="32"/>
          <w:szCs w:val="32"/>
          <w:lang w:bidi="ar"/>
        </w:rPr>
        <w:t>个专科获批全国中医特色优势专科建设单位</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rPr>
        <w:t>二是中西医协同上新台阶。</w:t>
      </w:r>
      <w:r>
        <w:rPr>
          <w:rFonts w:hint="default" w:ascii="Times New Roman" w:hAnsi="Times New Roman" w:eastAsia="方正仿宋_GBK" w:cs="Times New Roman"/>
          <w:b w:val="0"/>
          <w:bCs w:val="0"/>
          <w:color w:val="000000"/>
          <w:kern w:val="0"/>
          <w:sz w:val="32"/>
          <w:szCs w:val="32"/>
          <w:lang w:val="en-US" w:eastAsia="zh-CN" w:bidi="ar"/>
        </w:rPr>
        <w:t>全市有14</w:t>
      </w:r>
      <w:r>
        <w:rPr>
          <w:rFonts w:hint="default" w:ascii="Times New Roman" w:hAnsi="Times New Roman" w:eastAsia="方正仿宋_GBK" w:cs="Times New Roman"/>
          <w:b w:val="0"/>
          <w:bCs w:val="0"/>
          <w:color w:val="000000"/>
          <w:kern w:val="0"/>
          <w:sz w:val="32"/>
          <w:szCs w:val="32"/>
          <w:lang w:bidi="ar"/>
        </w:rPr>
        <w:t>个专科</w:t>
      </w:r>
      <w:r>
        <w:rPr>
          <w:rFonts w:hint="default" w:ascii="Times New Roman" w:hAnsi="Times New Roman" w:eastAsia="方正仿宋_GBK" w:cs="Times New Roman"/>
          <w:b w:val="0"/>
          <w:bCs w:val="0"/>
          <w:color w:val="000000"/>
          <w:kern w:val="0"/>
          <w:sz w:val="32"/>
          <w:szCs w:val="32"/>
          <w:lang w:val="en-US" w:eastAsia="zh-CN" w:bidi="ar"/>
        </w:rPr>
        <w:t>列入</w:t>
      </w:r>
      <w:r>
        <w:rPr>
          <w:rFonts w:hint="default" w:ascii="Times New Roman" w:hAnsi="Times New Roman" w:eastAsia="方正仿宋_GBK" w:cs="Times New Roman"/>
          <w:b w:val="0"/>
          <w:bCs w:val="0"/>
          <w:color w:val="000000"/>
          <w:kern w:val="0"/>
          <w:sz w:val="32"/>
          <w:szCs w:val="32"/>
          <w:lang w:bidi="ar"/>
        </w:rPr>
        <w:t>国家中医药管理局中西医</w:t>
      </w:r>
      <w:r>
        <w:rPr>
          <w:rFonts w:hint="default" w:ascii="Times New Roman" w:hAnsi="Times New Roman" w:eastAsia="方正仿宋_GBK" w:cs="Times New Roman"/>
          <w:b w:val="0"/>
          <w:bCs w:val="0"/>
          <w:color w:val="000000"/>
          <w:kern w:val="0"/>
          <w:sz w:val="32"/>
          <w:szCs w:val="32"/>
          <w:lang w:val="en-US" w:eastAsia="zh-CN" w:bidi="ar"/>
        </w:rPr>
        <w:t>协同“</w:t>
      </w:r>
      <w:r>
        <w:rPr>
          <w:rFonts w:hint="default" w:ascii="Times New Roman" w:hAnsi="Times New Roman" w:eastAsia="方正仿宋_GBK" w:cs="Times New Roman"/>
          <w:b w:val="0"/>
          <w:bCs w:val="0"/>
          <w:color w:val="000000"/>
          <w:kern w:val="0"/>
          <w:sz w:val="32"/>
          <w:szCs w:val="32"/>
          <w:lang w:bidi="ar"/>
        </w:rPr>
        <w:t>旗舰</w:t>
      </w:r>
      <w:r>
        <w:rPr>
          <w:rFonts w:hint="default" w:ascii="Times New Roman" w:hAnsi="Times New Roman" w:eastAsia="方正仿宋_GBK" w:cs="Times New Roman"/>
          <w:b w:val="0"/>
          <w:bCs w:val="0"/>
          <w:color w:val="000000"/>
          <w:kern w:val="0"/>
          <w:sz w:val="32"/>
          <w:szCs w:val="32"/>
          <w:lang w:eastAsia="zh-CN" w:bidi="ar"/>
        </w:rPr>
        <w:t>”</w:t>
      </w:r>
      <w:r>
        <w:rPr>
          <w:rFonts w:hint="default" w:ascii="Times New Roman" w:hAnsi="Times New Roman" w:eastAsia="方正仿宋_GBK" w:cs="Times New Roman"/>
          <w:b w:val="0"/>
          <w:bCs w:val="0"/>
          <w:color w:val="000000"/>
          <w:kern w:val="0"/>
          <w:sz w:val="32"/>
          <w:szCs w:val="32"/>
          <w:lang w:bidi="ar"/>
        </w:rPr>
        <w:t>科室</w:t>
      </w:r>
      <w:r>
        <w:rPr>
          <w:rFonts w:hint="default" w:ascii="Times New Roman" w:hAnsi="Times New Roman" w:eastAsia="方正仿宋_GBK" w:cs="Times New Roman"/>
          <w:b w:val="0"/>
          <w:bCs w:val="0"/>
          <w:color w:val="000000"/>
          <w:kern w:val="0"/>
          <w:sz w:val="32"/>
          <w:szCs w:val="32"/>
          <w:lang w:val="en-US" w:eastAsia="zh-CN" w:bidi="ar"/>
        </w:rPr>
        <w:t>建设单位</w:t>
      </w:r>
      <w:r>
        <w:rPr>
          <w:rFonts w:hint="default" w:ascii="Times New Roman" w:hAnsi="Times New Roman" w:eastAsia="方正仿宋_GBK" w:cs="Times New Roman"/>
          <w:b w:val="0"/>
          <w:bCs w:val="0"/>
          <w:color w:val="000000"/>
          <w:kern w:val="0"/>
          <w:sz w:val="32"/>
          <w:szCs w:val="32"/>
          <w:lang w:eastAsia="zh-CN" w:bidi="ar"/>
        </w:rPr>
        <w:t>、</w:t>
      </w:r>
      <w:r>
        <w:rPr>
          <w:rFonts w:hint="default" w:ascii="Times New Roman" w:hAnsi="Times New Roman" w:eastAsia="方正仿宋_GBK" w:cs="Times New Roman"/>
          <w:b w:val="0"/>
          <w:bCs w:val="0"/>
          <w:color w:val="000000"/>
          <w:kern w:val="0"/>
          <w:sz w:val="32"/>
          <w:szCs w:val="32"/>
          <w:lang w:val="en-US" w:eastAsia="zh-CN" w:bidi="ar"/>
        </w:rPr>
        <w:t>6个项目入选</w:t>
      </w:r>
      <w:r>
        <w:rPr>
          <w:rFonts w:hint="default" w:ascii="Times New Roman" w:hAnsi="Times New Roman" w:eastAsia="方正仿宋_GBK" w:cs="Times New Roman"/>
          <w:b w:val="0"/>
          <w:bCs w:val="0"/>
          <w:color w:val="000000"/>
          <w:kern w:val="0"/>
          <w:sz w:val="32"/>
          <w:szCs w:val="32"/>
          <w:lang w:eastAsia="zh-CN" w:bidi="ar"/>
        </w:rPr>
        <w:t>国家重大疑难疾病中西医临床协作项目</w:t>
      </w:r>
      <w:r>
        <w:rPr>
          <w:rFonts w:hint="default" w:ascii="Times New Roman" w:hAnsi="Times New Roman" w:eastAsia="方正仿宋_GBK" w:cs="Times New Roman"/>
          <w:b w:val="0"/>
          <w:bCs w:val="0"/>
          <w:color w:val="000000"/>
          <w:kern w:val="0"/>
          <w:sz w:val="32"/>
          <w:szCs w:val="32"/>
          <w:lang w:val="en-US" w:eastAsia="zh-CN" w:bidi="ar"/>
        </w:rPr>
        <w:t>。</w:t>
      </w:r>
      <w:r>
        <w:rPr>
          <w:rFonts w:hint="default" w:ascii="Times New Roman" w:hAnsi="Times New Roman" w:eastAsia="方正仿宋_GBK" w:cs="Times New Roman"/>
          <w:b w:val="0"/>
          <w:bCs w:val="0"/>
          <w:color w:val="000000"/>
          <w:kern w:val="0"/>
          <w:sz w:val="32"/>
          <w:szCs w:val="32"/>
          <w:lang w:bidi="ar"/>
        </w:rPr>
        <w:t>三是基层中医药服务能力全面提升。</w:t>
      </w:r>
      <w:r>
        <w:rPr>
          <w:rFonts w:hint="default" w:ascii="Times New Roman" w:hAnsi="Times New Roman" w:eastAsia="方正仿宋_GBK" w:cs="Times New Roman"/>
          <w:b w:val="0"/>
          <w:bCs w:val="0"/>
          <w:color w:val="auto"/>
          <w:sz w:val="32"/>
          <w:szCs w:val="32"/>
          <w:highlight w:val="none"/>
        </w:rPr>
        <w:t>全市131个社区卫生服务中心</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镇卫生院</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均设有中医馆，中医类别执业医师占</w:t>
      </w:r>
      <w:r>
        <w:rPr>
          <w:rFonts w:hint="default" w:ascii="Times New Roman" w:hAnsi="Times New Roman" w:eastAsia="方正仿宋_GBK" w:cs="Times New Roman"/>
          <w:b w:val="0"/>
          <w:bCs w:val="0"/>
          <w:color w:val="auto"/>
          <w:sz w:val="32"/>
          <w:szCs w:val="32"/>
          <w:highlight w:val="none"/>
          <w:lang w:val="en-US" w:eastAsia="zh-CN"/>
        </w:rPr>
        <w:t>执业医师</w:t>
      </w:r>
      <w:r>
        <w:rPr>
          <w:rFonts w:hint="default" w:ascii="Times New Roman" w:hAnsi="Times New Roman" w:eastAsia="方正仿宋_GBK" w:cs="Times New Roman"/>
          <w:b w:val="0"/>
          <w:bCs w:val="0"/>
          <w:color w:val="auto"/>
          <w:sz w:val="32"/>
          <w:szCs w:val="32"/>
          <w:highlight w:val="none"/>
        </w:rPr>
        <w:t>比例</w:t>
      </w:r>
      <w:r>
        <w:rPr>
          <w:rFonts w:hint="default" w:ascii="Times New Roman" w:hAnsi="Times New Roman" w:eastAsia="方正仿宋_GBK" w:cs="Times New Roman"/>
          <w:b w:val="0"/>
          <w:bCs w:val="0"/>
          <w:color w:val="auto"/>
          <w:sz w:val="32"/>
          <w:szCs w:val="32"/>
          <w:highlight w:val="none"/>
          <w:lang w:val="en-US" w:eastAsia="zh-CN"/>
        </w:rPr>
        <w:t>和</w:t>
      </w:r>
      <w:r>
        <w:rPr>
          <w:rFonts w:hint="default" w:ascii="Times New Roman" w:hAnsi="Times New Roman" w:eastAsia="方正仿宋_GBK" w:cs="Times New Roman"/>
          <w:b w:val="0"/>
          <w:bCs w:val="0"/>
          <w:color w:val="000000"/>
          <w:sz w:val="32"/>
          <w:szCs w:val="32"/>
        </w:rPr>
        <w:t>总诊疗量中中医诊疗量所占</w:t>
      </w:r>
      <w:r>
        <w:rPr>
          <w:rFonts w:hint="default" w:ascii="Times New Roman" w:hAnsi="Times New Roman" w:eastAsia="方正仿宋_GBK" w:cs="Times New Roman"/>
          <w:b w:val="0"/>
          <w:bCs w:val="0"/>
          <w:color w:val="000000"/>
          <w:sz w:val="32"/>
          <w:szCs w:val="32"/>
          <w:lang w:val="en-US" w:eastAsia="zh-CN"/>
        </w:rPr>
        <w:t>较项目实施前增长明显。新增中医馆服务内涵建设标准的社区卫生服务中心（镇卫生院）20家</w:t>
      </w:r>
      <w:r>
        <w:rPr>
          <w:rFonts w:hint="default" w:ascii="Times New Roman" w:hAnsi="Times New Roman" w:eastAsia="方正仿宋_GBK" w:cs="Times New Roman"/>
          <w:b w:val="0"/>
          <w:bCs w:val="0"/>
          <w:color w:val="000000"/>
          <w:sz w:val="32"/>
          <w:szCs w:val="32"/>
        </w:rPr>
        <w:t>。</w:t>
      </w:r>
    </w:p>
    <w:p w14:paraId="05220918">
      <w:pPr>
        <w:keepNext w:val="0"/>
        <w:keepLines w:val="0"/>
        <w:pageBreakBefore w:val="0"/>
        <w:widowControl w:val="0"/>
        <w:kinsoku/>
        <w:wordWrap/>
        <w:overflow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rPr>
        <w:t>（</w:t>
      </w:r>
      <w:r>
        <w:rPr>
          <w:rFonts w:hint="eastAsia" w:ascii="Times New Roman" w:hAnsi="Times New Roman" w:eastAsia="方正楷体_GBK" w:cs="Times New Roman"/>
          <w:b w:val="0"/>
          <w:bCs w:val="0"/>
          <w:sz w:val="32"/>
          <w:szCs w:val="32"/>
          <w:lang w:val="en-US" w:eastAsia="zh-CN"/>
        </w:rPr>
        <w:t>2</w:t>
      </w:r>
      <w:r>
        <w:rPr>
          <w:rFonts w:hint="default" w:ascii="Times New Roman" w:hAnsi="Times New Roman" w:eastAsia="方正楷体_GBK" w:cs="Times New Roman"/>
          <w:b w:val="0"/>
          <w:bCs w:val="0"/>
          <w:sz w:val="32"/>
          <w:szCs w:val="32"/>
        </w:rPr>
        <w:t>）引培结合，壮大中医药人才队伍。</w:t>
      </w:r>
      <w:r>
        <w:rPr>
          <w:rFonts w:hint="default" w:ascii="Times New Roman" w:hAnsi="Times New Roman" w:eastAsia="方正仿宋_GBK" w:cs="Times New Roman"/>
          <w:b w:val="0"/>
          <w:bCs w:val="0"/>
          <w:sz w:val="32"/>
          <w:szCs w:val="32"/>
        </w:rPr>
        <w:t>一是提升中医药人才吸引力。</w:t>
      </w:r>
      <w:r>
        <w:rPr>
          <w:rFonts w:hint="default" w:ascii="Times New Roman" w:hAnsi="Times New Roman" w:eastAsia="方正仿宋_GBK" w:cs="Times New Roman"/>
          <w:b w:val="0"/>
          <w:bCs w:val="0"/>
          <w:color w:val="auto"/>
          <w:sz w:val="32"/>
          <w:szCs w:val="32"/>
          <w:highlight w:val="none"/>
        </w:rPr>
        <w:t>我市</w:t>
      </w:r>
      <w:r>
        <w:rPr>
          <w:rFonts w:hint="default" w:ascii="Times New Roman" w:hAnsi="Times New Roman" w:eastAsia="方正仿宋_GBK" w:cs="Times New Roman"/>
          <w:b w:val="0"/>
          <w:bCs w:val="0"/>
          <w:color w:val="auto"/>
          <w:sz w:val="32"/>
          <w:szCs w:val="32"/>
          <w:highlight w:val="none"/>
          <w:lang w:val="en-US" w:eastAsia="zh-CN"/>
        </w:rPr>
        <w:t>在人才</w:t>
      </w:r>
      <w:r>
        <w:rPr>
          <w:rFonts w:hint="default" w:ascii="Times New Roman" w:hAnsi="Times New Roman" w:eastAsia="方正仿宋_GBK" w:cs="Times New Roman"/>
          <w:b w:val="0"/>
          <w:bCs w:val="0"/>
          <w:color w:val="auto"/>
          <w:sz w:val="32"/>
          <w:szCs w:val="32"/>
          <w:highlight w:val="none"/>
        </w:rPr>
        <w:t>引进政策、引进方式等方面予以倾斜</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val="en-US" w:eastAsia="zh-CN"/>
        </w:rPr>
        <w:t>通过</w:t>
      </w:r>
      <w:r>
        <w:rPr>
          <w:rFonts w:hint="default" w:ascii="Times New Roman" w:hAnsi="Times New Roman" w:eastAsia="方正仿宋_GBK" w:cs="Times New Roman"/>
          <w:b w:val="0"/>
          <w:bCs w:val="0"/>
          <w:color w:val="auto"/>
          <w:sz w:val="32"/>
          <w:szCs w:val="32"/>
          <w:highlight w:val="none"/>
        </w:rPr>
        <w:t>柔性引进</w:t>
      </w:r>
      <w:r>
        <w:rPr>
          <w:rFonts w:hint="default" w:ascii="Times New Roman" w:hAnsi="Times New Roman" w:eastAsia="方正仿宋_GBK" w:cs="Times New Roman"/>
          <w:b w:val="0"/>
          <w:bCs w:val="0"/>
          <w:color w:val="auto"/>
          <w:sz w:val="32"/>
          <w:szCs w:val="32"/>
          <w:highlight w:val="none"/>
          <w:lang w:val="en-US" w:eastAsia="zh-CN"/>
        </w:rPr>
        <w:t>，成功吸引</w:t>
      </w:r>
      <w:r>
        <w:rPr>
          <w:rFonts w:hint="default" w:ascii="Times New Roman" w:hAnsi="Times New Roman" w:eastAsia="方正仿宋_GBK" w:cs="Times New Roman"/>
          <w:b w:val="0"/>
          <w:bCs w:val="0"/>
          <w:color w:val="auto"/>
          <w:sz w:val="32"/>
          <w:szCs w:val="32"/>
          <w:highlight w:val="none"/>
        </w:rPr>
        <w:t>7名岐黄学者、2名全国名中医</w:t>
      </w:r>
      <w:r>
        <w:rPr>
          <w:rFonts w:hint="default" w:ascii="Times New Roman" w:hAnsi="Times New Roman" w:eastAsia="方正仿宋_GBK" w:cs="Times New Roman"/>
          <w:b w:val="0"/>
          <w:bCs w:val="0"/>
          <w:color w:val="auto"/>
          <w:sz w:val="32"/>
          <w:szCs w:val="32"/>
          <w:highlight w:val="none"/>
          <w:lang w:val="en-US" w:eastAsia="zh-CN"/>
        </w:rPr>
        <w:t>加入我市中</w:t>
      </w:r>
      <w:r>
        <w:rPr>
          <w:rFonts w:hint="default" w:ascii="Times New Roman" w:hAnsi="Times New Roman" w:eastAsia="方正仿宋_GBK" w:cs="Times New Roman"/>
          <w:b w:val="0"/>
          <w:bCs w:val="0"/>
          <w:sz w:val="32"/>
          <w:szCs w:val="32"/>
          <w:lang w:val="en-US" w:eastAsia="zh-CN"/>
        </w:rPr>
        <w:t>医队伍</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color w:val="auto"/>
          <w:sz w:val="32"/>
          <w:szCs w:val="32"/>
          <w:highlight w:val="none"/>
        </w:rPr>
        <w:t>全市千人中医医师数</w:t>
      </w:r>
      <w:r>
        <w:rPr>
          <w:rFonts w:hint="default" w:ascii="Times New Roman" w:hAnsi="Times New Roman" w:eastAsia="方正仿宋_GBK" w:cs="Times New Roman"/>
          <w:b w:val="0"/>
          <w:bCs w:val="0"/>
          <w:color w:val="auto"/>
          <w:sz w:val="32"/>
          <w:szCs w:val="32"/>
          <w:highlight w:val="none"/>
          <w:lang w:val="en-US" w:eastAsia="zh-CN"/>
        </w:rPr>
        <w:t>0.87（较</w:t>
      </w:r>
      <w:r>
        <w:rPr>
          <w:rFonts w:hint="default" w:ascii="Times New Roman" w:hAnsi="Times New Roman" w:eastAsia="方正仿宋_GBK" w:cs="Times New Roman"/>
          <w:b w:val="0"/>
          <w:bCs w:val="0"/>
          <w:sz w:val="32"/>
          <w:szCs w:val="32"/>
        </w:rPr>
        <w:t>2022年</w:t>
      </w:r>
      <w:r>
        <w:rPr>
          <w:rFonts w:hint="default" w:ascii="Times New Roman" w:hAnsi="Times New Roman" w:eastAsia="方正仿宋_GBK" w:cs="Times New Roman"/>
          <w:b w:val="0"/>
          <w:bCs w:val="0"/>
          <w:sz w:val="32"/>
          <w:szCs w:val="32"/>
          <w:lang w:val="en-US" w:eastAsia="zh-CN"/>
        </w:rPr>
        <w:t>增加21%）</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rPr>
        <w:t>二是实施青年人才托举工程</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新</w:t>
      </w:r>
      <w:r>
        <w:rPr>
          <w:rFonts w:hint="default" w:ascii="Times New Roman" w:hAnsi="Times New Roman" w:eastAsia="方正仿宋_GBK" w:cs="Times New Roman"/>
          <w:b w:val="0"/>
          <w:bCs w:val="0"/>
          <w:color w:val="000000"/>
          <w:sz w:val="32"/>
          <w:szCs w:val="32"/>
        </w:rPr>
        <w:t>增26人入选第</w:t>
      </w:r>
      <w:r>
        <w:rPr>
          <w:rFonts w:hint="default" w:ascii="Times New Roman" w:hAnsi="Times New Roman" w:eastAsia="方正仿宋_GBK" w:cs="Times New Roman"/>
          <w:b w:val="0"/>
          <w:bCs w:val="0"/>
          <w:sz w:val="32"/>
          <w:szCs w:val="32"/>
        </w:rPr>
        <w:t>三批江苏省中医药领军人才</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全省30人）</w:t>
      </w:r>
      <w:r>
        <w:rPr>
          <w:rFonts w:hint="default" w:ascii="Times New Roman" w:hAnsi="Times New Roman" w:eastAsia="方正仿宋_GBK" w:cs="Times New Roman"/>
          <w:b w:val="0"/>
          <w:bCs w:val="0"/>
          <w:sz w:val="32"/>
          <w:szCs w:val="32"/>
        </w:rPr>
        <w:t>。三是开展多层次的“西学中”人才培养。</w:t>
      </w:r>
      <w:r>
        <w:rPr>
          <w:rFonts w:hint="default" w:ascii="Times New Roman" w:hAnsi="Times New Roman" w:eastAsia="方正仿宋_GBK" w:cs="Times New Roman"/>
          <w:b w:val="0"/>
          <w:bCs w:val="0"/>
          <w:sz w:val="32"/>
          <w:szCs w:val="32"/>
          <w:lang w:val="en-US" w:eastAsia="zh-CN"/>
        </w:rPr>
        <w:t>在培</w:t>
      </w:r>
      <w:r>
        <w:rPr>
          <w:rFonts w:hint="default" w:ascii="Times New Roman" w:hAnsi="Times New Roman" w:eastAsia="方正仿宋_GBK" w:cs="Times New Roman"/>
          <w:b w:val="0"/>
          <w:bCs w:val="0"/>
          <w:sz w:val="32"/>
          <w:szCs w:val="32"/>
        </w:rPr>
        <w:t>市级西学中高级人才</w:t>
      </w:r>
      <w:r>
        <w:rPr>
          <w:rFonts w:hint="default" w:ascii="Times New Roman" w:hAnsi="Times New Roman" w:eastAsia="方正仿宋_GBK" w:cs="Times New Roman"/>
          <w:b w:val="0"/>
          <w:bCs w:val="0"/>
          <w:sz w:val="32"/>
          <w:szCs w:val="32"/>
          <w:lang w:val="en-US" w:eastAsia="zh-CN"/>
        </w:rPr>
        <w:t>167</w:t>
      </w:r>
      <w:r>
        <w:rPr>
          <w:rFonts w:hint="default" w:ascii="Times New Roman" w:hAnsi="Times New Roman" w:eastAsia="方正仿宋_GBK" w:cs="Times New Roman"/>
          <w:b w:val="0"/>
          <w:bCs w:val="0"/>
          <w:sz w:val="32"/>
          <w:szCs w:val="32"/>
        </w:rPr>
        <w:t>名</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区级西学中学员348人</w:t>
      </w:r>
      <w:r>
        <w:rPr>
          <w:rFonts w:hint="default" w:ascii="Times New Roman" w:hAnsi="Times New Roman" w:eastAsia="方正仿宋_GBK" w:cs="Times New Roman"/>
          <w:b w:val="0"/>
          <w:bCs w:val="0"/>
          <w:sz w:val="32"/>
          <w:szCs w:val="32"/>
          <w:lang w:val="en-US" w:eastAsia="zh-CN"/>
        </w:rPr>
        <w:t>，为中西医结合发展注入新动力。</w:t>
      </w:r>
    </w:p>
    <w:p w14:paraId="1EBF9158">
      <w:pPr>
        <w:keepNext w:val="0"/>
        <w:keepLines w:val="0"/>
        <w:pageBreakBefore w:val="0"/>
        <w:widowControl w:val="0"/>
        <w:kinsoku/>
        <w:wordWrap/>
        <w:overflowPunct w:val="0"/>
        <w:bidi w:val="0"/>
        <w:spacing w:line="56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rPr>
        <w:t>（</w:t>
      </w:r>
      <w:r>
        <w:rPr>
          <w:rFonts w:hint="eastAsia" w:ascii="Times New Roman" w:hAnsi="Times New Roman" w:eastAsia="方正楷体_GBK" w:cs="Times New Roman"/>
          <w:b w:val="0"/>
          <w:bCs w:val="0"/>
          <w:sz w:val="32"/>
          <w:szCs w:val="32"/>
          <w:lang w:val="en-US" w:eastAsia="zh-CN"/>
        </w:rPr>
        <w:t>3</w:t>
      </w:r>
      <w:r>
        <w:rPr>
          <w:rFonts w:hint="default" w:ascii="Times New Roman" w:hAnsi="Times New Roman" w:eastAsia="方正楷体_GBK" w:cs="Times New Roman"/>
          <w:b w:val="0"/>
          <w:bCs w:val="0"/>
          <w:sz w:val="32"/>
          <w:szCs w:val="32"/>
        </w:rPr>
        <w:t>）注重传承，促进中医药技术</w:t>
      </w:r>
      <w:r>
        <w:rPr>
          <w:rFonts w:hint="default" w:ascii="Times New Roman" w:hAnsi="Times New Roman" w:eastAsia="方正楷体_GBK" w:cs="Times New Roman"/>
          <w:b w:val="0"/>
          <w:bCs w:val="0"/>
          <w:sz w:val="32"/>
          <w:szCs w:val="32"/>
          <w:lang w:val="en-US" w:eastAsia="zh-CN"/>
        </w:rPr>
        <w:t>突破</w:t>
      </w:r>
      <w:r>
        <w:rPr>
          <w:rFonts w:hint="default" w:ascii="Times New Roman" w:hAnsi="Times New Roman" w:eastAsia="方正楷体_GBK" w:cs="Times New Roman"/>
          <w:b w:val="0"/>
          <w:bCs w:val="0"/>
          <w:sz w:val="32"/>
          <w:szCs w:val="32"/>
        </w:rPr>
        <w:t>。</w:t>
      </w:r>
      <w:r>
        <w:rPr>
          <w:rFonts w:hint="default" w:ascii="Times New Roman" w:hAnsi="Times New Roman" w:eastAsia="方正仿宋_GBK" w:cs="Times New Roman"/>
          <w:b w:val="0"/>
          <w:bCs w:val="0"/>
          <w:sz w:val="32"/>
          <w:szCs w:val="32"/>
        </w:rPr>
        <w:t>一是建立多层次师承教育。</w:t>
      </w:r>
      <w:r>
        <w:rPr>
          <w:rFonts w:hint="default" w:ascii="Times New Roman" w:hAnsi="Times New Roman" w:eastAsia="方正仿宋_GBK" w:cs="Times New Roman"/>
          <w:b w:val="0"/>
          <w:bCs w:val="0"/>
          <w:sz w:val="32"/>
          <w:szCs w:val="32"/>
        </w:rPr>
        <w:t>开设金陵名医讲堂</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建设市级</w:t>
      </w:r>
      <w:r>
        <w:rPr>
          <w:rFonts w:hint="default" w:ascii="Times New Roman" w:hAnsi="Times New Roman" w:eastAsia="方正仿宋_GBK" w:cs="Times New Roman"/>
          <w:b w:val="0"/>
          <w:bCs w:val="0"/>
          <w:sz w:val="32"/>
          <w:szCs w:val="32"/>
          <w:lang w:val="en-US" w:eastAsia="zh-CN"/>
        </w:rPr>
        <w:t>名中医工作室70个、</w:t>
      </w:r>
      <w:r>
        <w:rPr>
          <w:rFonts w:hint="default" w:ascii="Times New Roman" w:hAnsi="Times New Roman" w:eastAsia="方正仿宋_GBK" w:cs="Times New Roman"/>
          <w:b w:val="0"/>
          <w:bCs w:val="0"/>
          <w:sz w:val="32"/>
          <w:szCs w:val="32"/>
        </w:rPr>
        <w:t>老药工传承工作室</w:t>
      </w:r>
      <w:r>
        <w:rPr>
          <w:rFonts w:hint="default" w:ascii="Times New Roman" w:hAnsi="Times New Roman" w:eastAsia="方正仿宋_GBK" w:cs="Times New Roman"/>
          <w:b w:val="0"/>
          <w:bCs w:val="0"/>
          <w:sz w:val="32"/>
          <w:szCs w:val="32"/>
          <w:lang w:val="en-US" w:eastAsia="zh-CN"/>
        </w:rPr>
        <w:t>6个</w:t>
      </w:r>
      <w:r>
        <w:rPr>
          <w:rFonts w:hint="default" w:ascii="Times New Roman" w:hAnsi="Times New Roman" w:eastAsia="方正仿宋_GBK" w:cs="Times New Roman"/>
          <w:b w:val="0"/>
          <w:bCs w:val="0"/>
          <w:sz w:val="32"/>
          <w:szCs w:val="32"/>
        </w:rPr>
        <w:t>，开展第六批名老中医药专家师承带教工作。</w:t>
      </w:r>
      <w:r>
        <w:rPr>
          <w:rFonts w:hint="default" w:ascii="Times New Roman" w:hAnsi="Times New Roman" w:eastAsia="方正仿宋_GBK" w:cs="Times New Roman"/>
          <w:b w:val="0"/>
          <w:bCs w:val="0"/>
          <w:sz w:val="32"/>
          <w:szCs w:val="32"/>
        </w:rPr>
        <w:t>二是构建金陵医派活态传承。</w:t>
      </w:r>
      <w:r>
        <w:rPr>
          <w:rFonts w:hint="default" w:ascii="Times New Roman" w:hAnsi="Times New Roman" w:eastAsia="方正仿宋_GBK" w:cs="Times New Roman"/>
          <w:b w:val="0"/>
          <w:bCs w:val="0"/>
          <w:sz w:val="32"/>
          <w:szCs w:val="32"/>
        </w:rPr>
        <w:t>市委编委会批复在市中医院增挂南京市金陵医派研究院，开展金陵医派脉络梳理</w:t>
      </w:r>
      <w:r>
        <w:rPr>
          <w:rFonts w:hint="default" w:ascii="Times New Roman" w:hAnsi="Times New Roman"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rPr>
        <w:t>挖掘整理金陵医派的学术思想和临床经验。</w:t>
      </w:r>
      <w:r>
        <w:rPr>
          <w:rFonts w:hint="default" w:ascii="Times New Roman" w:hAnsi="Times New Roman" w:eastAsia="方正仿宋_GBK" w:cs="Times New Roman"/>
          <w:b w:val="0"/>
          <w:bCs w:val="0"/>
          <w:sz w:val="32"/>
          <w:szCs w:val="32"/>
        </w:rPr>
        <w:t>三是加</w:t>
      </w:r>
      <w:r>
        <w:rPr>
          <w:rFonts w:hint="default" w:ascii="Times New Roman" w:hAnsi="Times New Roman" w:eastAsia="方正仿宋_GBK" w:cs="Times New Roman"/>
          <w:b w:val="0"/>
          <w:bCs w:val="0"/>
          <w:sz w:val="32"/>
          <w:szCs w:val="32"/>
          <w:lang w:val="en-US" w:eastAsia="zh-CN"/>
        </w:rPr>
        <w:t>速</w:t>
      </w:r>
      <w:r>
        <w:rPr>
          <w:rFonts w:hint="default" w:ascii="Times New Roman" w:hAnsi="Times New Roman" w:eastAsia="方正仿宋_GBK" w:cs="Times New Roman"/>
          <w:b w:val="0"/>
          <w:bCs w:val="0"/>
          <w:sz w:val="32"/>
          <w:szCs w:val="32"/>
        </w:rPr>
        <w:t>中医药研究平台建设。</w:t>
      </w:r>
      <w:r>
        <w:rPr>
          <w:rFonts w:hint="default" w:ascii="Times New Roman" w:hAnsi="Times New Roman" w:eastAsia="方正仿宋_GBK" w:cs="Times New Roman"/>
          <w:b w:val="0"/>
          <w:bCs w:val="0"/>
          <w:sz w:val="32"/>
          <w:szCs w:val="32"/>
        </w:rPr>
        <w:t>加快建设4个</w:t>
      </w:r>
      <w:r>
        <w:rPr>
          <w:rFonts w:hint="default" w:ascii="Times New Roman" w:hAnsi="Times New Roman" w:eastAsia="方正仿宋_GBK" w:cs="Times New Roman"/>
          <w:b w:val="0"/>
          <w:bCs w:val="0"/>
          <w:sz w:val="32"/>
          <w:szCs w:val="32"/>
          <w:lang w:val="en-US" w:eastAsia="zh-CN"/>
        </w:rPr>
        <w:t>省级</w:t>
      </w:r>
      <w:r>
        <w:rPr>
          <w:rFonts w:hint="default" w:ascii="Times New Roman" w:hAnsi="Times New Roman" w:eastAsia="方正仿宋_GBK" w:cs="Times New Roman"/>
          <w:b w:val="0"/>
          <w:bCs w:val="0"/>
          <w:sz w:val="32"/>
          <w:szCs w:val="32"/>
        </w:rPr>
        <w:t>临床医学创新中心</w:t>
      </w:r>
      <w:r>
        <w:rPr>
          <w:rFonts w:hint="default" w:ascii="Times New Roman" w:hAnsi="Times New Roman" w:eastAsia="方正仿宋_GBK" w:cs="Times New Roman"/>
          <w:b w:val="0"/>
          <w:bCs w:val="0"/>
          <w:sz w:val="32"/>
          <w:szCs w:val="32"/>
          <w:lang w:val="en-US" w:eastAsia="zh-CN"/>
        </w:rPr>
        <w:t>和4个市级中医研究中心</w:t>
      </w:r>
      <w:r>
        <w:rPr>
          <w:rFonts w:hint="default" w:ascii="Times New Roman" w:hAnsi="Times New Roman" w:eastAsia="方正仿宋_GBK" w:cs="Times New Roman"/>
          <w:b w:val="0"/>
          <w:bCs w:val="0"/>
          <w:sz w:val="32"/>
          <w:szCs w:val="32"/>
        </w:rPr>
        <w:t>，推动建设研究型</w:t>
      </w:r>
      <w:r>
        <w:rPr>
          <w:rFonts w:hint="default" w:ascii="Times New Roman" w:hAnsi="Times New Roman" w:eastAsia="方正仿宋_GBK" w:cs="Times New Roman"/>
          <w:b w:val="0"/>
          <w:bCs w:val="0"/>
          <w:sz w:val="32"/>
          <w:szCs w:val="32"/>
          <w:lang w:val="en-US" w:eastAsia="zh-CN"/>
        </w:rPr>
        <w:t>中</w:t>
      </w:r>
      <w:r>
        <w:rPr>
          <w:rFonts w:hint="default" w:ascii="Times New Roman" w:hAnsi="Times New Roman" w:eastAsia="方正仿宋_GBK" w:cs="Times New Roman"/>
          <w:b w:val="0"/>
          <w:bCs w:val="0"/>
          <w:sz w:val="32"/>
          <w:szCs w:val="32"/>
        </w:rPr>
        <w:t>医院建设。</w:t>
      </w:r>
      <w:r>
        <w:rPr>
          <w:rFonts w:hint="default" w:ascii="Times New Roman" w:hAnsi="Times New Roman" w:eastAsia="方正仿宋_GBK" w:cs="Times New Roman"/>
          <w:b w:val="0"/>
          <w:bCs w:val="0"/>
          <w:sz w:val="32"/>
          <w:szCs w:val="32"/>
        </w:rPr>
        <w:t>四是促进中医药成果转化。</w:t>
      </w:r>
      <w:r>
        <w:rPr>
          <w:rFonts w:hint="default" w:ascii="Times New Roman" w:hAnsi="Times New Roman" w:eastAsia="方正仿宋_GBK" w:cs="Times New Roman"/>
          <w:b w:val="0"/>
          <w:bCs w:val="0"/>
          <w:sz w:val="32"/>
          <w:szCs w:val="32"/>
        </w:rPr>
        <w:t>成功举办2024年度中医药科技成果直通车（江苏站）。</w:t>
      </w:r>
      <w:r>
        <w:rPr>
          <w:rFonts w:hint="default" w:ascii="Times New Roman" w:hAnsi="Times New Roman" w:eastAsia="方正仿宋_GBK" w:cs="Times New Roman"/>
          <w:b w:val="0"/>
          <w:bCs w:val="0"/>
          <w:sz w:val="32"/>
          <w:szCs w:val="32"/>
        </w:rPr>
        <w:t>推动13个医疗机构中药制剂转化企业金额1.53亿元。</w:t>
      </w:r>
    </w:p>
    <w:p w14:paraId="74AD7C8B">
      <w:pPr>
        <w:keepNext w:val="0"/>
        <w:keepLines w:val="0"/>
        <w:pageBreakBefore w:val="0"/>
        <w:widowControl w:val="0"/>
        <w:kinsoku/>
        <w:wordWrap/>
        <w:overflowPunct w:val="0"/>
        <w:bidi w:val="0"/>
        <w:spacing w:line="560" w:lineRule="exact"/>
        <w:ind w:firstLine="640" w:firstLineChars="200"/>
        <w:rPr>
          <w:rFonts w:hint="eastAsia" w:ascii="Times New Roman" w:hAnsi="Times New Roman" w:eastAsia="方正仿宋_GBK" w:cs="Times New Roman"/>
          <w:b w:val="0"/>
          <w:bCs w:val="0"/>
          <w:sz w:val="32"/>
          <w:szCs w:val="32"/>
          <w:lang w:val="en-US" w:eastAsia="zh-CN"/>
        </w:rPr>
      </w:pPr>
      <w:r>
        <w:rPr>
          <w:rFonts w:hint="default" w:ascii="Times New Roman" w:hAnsi="Times New Roman" w:eastAsia="方正楷体_GBK" w:cs="Times New Roman"/>
          <w:b w:val="0"/>
          <w:bCs w:val="0"/>
          <w:sz w:val="32"/>
          <w:szCs w:val="32"/>
        </w:rPr>
        <w:t>（</w:t>
      </w:r>
      <w:r>
        <w:rPr>
          <w:rFonts w:hint="eastAsia" w:ascii="Times New Roman" w:hAnsi="Times New Roman" w:eastAsia="方正楷体_GBK" w:cs="Times New Roman"/>
          <w:b w:val="0"/>
          <w:bCs w:val="0"/>
          <w:sz w:val="32"/>
          <w:szCs w:val="32"/>
          <w:lang w:val="en-US" w:eastAsia="zh-CN"/>
        </w:rPr>
        <w:t>4</w:t>
      </w:r>
      <w:r>
        <w:rPr>
          <w:rFonts w:hint="default" w:ascii="Times New Roman" w:hAnsi="Times New Roman" w:eastAsia="方正楷体_GBK" w:cs="Times New Roman"/>
          <w:b w:val="0"/>
          <w:bCs w:val="0"/>
          <w:sz w:val="32"/>
          <w:szCs w:val="32"/>
        </w:rPr>
        <w:t>）共建联动，促进优质资源新布局。</w:t>
      </w:r>
      <w:r>
        <w:rPr>
          <w:rFonts w:hint="default" w:ascii="Times New Roman" w:hAnsi="Times New Roman" w:eastAsia="方正仿宋_GBK" w:cs="Times New Roman"/>
          <w:b w:val="0"/>
          <w:bCs w:val="0"/>
          <w:sz w:val="32"/>
          <w:szCs w:val="32"/>
        </w:rPr>
        <w:t>一是省市共建。省</w:t>
      </w:r>
      <w:r>
        <w:rPr>
          <w:rFonts w:hint="default" w:ascii="Times New Roman" w:hAnsi="Times New Roman" w:eastAsia="方正仿宋_GBK" w:cs="Times New Roman"/>
          <w:b w:val="0"/>
          <w:bCs w:val="0"/>
          <w:sz w:val="32"/>
          <w:szCs w:val="32"/>
          <w:lang w:val="en-US" w:eastAsia="zh-CN"/>
        </w:rPr>
        <w:t>相关部门</w:t>
      </w:r>
      <w:r>
        <w:rPr>
          <w:rFonts w:hint="default" w:ascii="Times New Roman" w:hAnsi="Times New Roman" w:eastAsia="方正仿宋_GBK" w:cs="Times New Roman"/>
          <w:b w:val="0"/>
          <w:bCs w:val="0"/>
          <w:sz w:val="32"/>
          <w:szCs w:val="32"/>
        </w:rPr>
        <w:t>在开展各类省级中医药项目时，加大对南京市的倾斜力度，项目数量和资助金额在全省13个设区市中均位列第一。</w:t>
      </w:r>
      <w:r>
        <w:rPr>
          <w:rFonts w:hint="default" w:ascii="Times New Roman" w:hAnsi="Times New Roman" w:eastAsia="方正仿宋_GBK" w:cs="Times New Roman"/>
          <w:b w:val="0"/>
          <w:bCs w:val="0"/>
          <w:sz w:val="32"/>
          <w:szCs w:val="32"/>
          <w:lang w:val="en-US" w:eastAsia="zh-CN"/>
        </w:rPr>
        <w:t>省里印发</w:t>
      </w:r>
      <w:r>
        <w:rPr>
          <w:rFonts w:hint="default" w:ascii="Times New Roman" w:hAnsi="Times New Roman" w:eastAsia="方正仿宋_GBK" w:cs="Times New Roman"/>
          <w:b w:val="0"/>
          <w:bCs w:val="0"/>
          <w:sz w:val="32"/>
          <w:szCs w:val="32"/>
        </w:rPr>
        <w:t>《江苏省中药饮片代煎服务质量管理规范》，为南京市开展共享中药房建设提供政策支撑和规范指导。二是院府联动。</w:t>
      </w:r>
      <w:r>
        <w:rPr>
          <w:rFonts w:hint="default" w:ascii="Times New Roman" w:hAnsi="Times New Roman" w:eastAsia="方正仿宋_GBK" w:cs="Times New Roman"/>
          <w:b w:val="0"/>
          <w:bCs w:val="0"/>
          <w:sz w:val="32"/>
          <w:szCs w:val="32"/>
          <w:lang w:val="en-US" w:eastAsia="zh-CN"/>
        </w:rPr>
        <w:t>江苏省中医院与浦口和六合区政府、省中西医结合医院与溧水区政府</w:t>
      </w:r>
      <w:r>
        <w:rPr>
          <w:rFonts w:hint="default" w:ascii="Times New Roman" w:hAnsi="Times New Roman" w:eastAsia="方正仿宋_GBK" w:cs="Times New Roman"/>
          <w:b w:val="0"/>
          <w:bCs w:val="0"/>
          <w:sz w:val="32"/>
          <w:szCs w:val="32"/>
        </w:rPr>
        <w:t>签署战略合作协议</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共建区级中医院。南京市中医院与高淳、浦口区中医院建设紧密型医联体。实现优质的中医药人员、技术、服务、管理与区级中医院</w:t>
      </w:r>
      <w:r>
        <w:rPr>
          <w:rFonts w:hint="default" w:ascii="Times New Roman" w:hAnsi="Times New Roman" w:eastAsia="方正仿宋_GBK" w:cs="Times New Roman"/>
          <w:b w:val="0"/>
          <w:bCs w:val="0"/>
          <w:sz w:val="32"/>
          <w:szCs w:val="32"/>
        </w:rPr>
        <w:t>深度融合</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协同发展</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三是校院共建。</w:t>
      </w:r>
      <w:r>
        <w:rPr>
          <w:rFonts w:hint="default" w:ascii="Times New Roman" w:hAnsi="Times New Roman" w:eastAsia="方正仿宋_GBK" w:cs="Times New Roman"/>
          <w:b w:val="0"/>
          <w:bCs w:val="0"/>
          <w:sz w:val="32"/>
          <w:szCs w:val="32"/>
          <w:lang w:val="en-US" w:eastAsia="zh-CN"/>
        </w:rPr>
        <w:t>鼓楼医院、市第</w:t>
      </w:r>
      <w:r>
        <w:rPr>
          <w:rFonts w:hint="default" w:ascii="Times New Roman" w:hAnsi="Times New Roman" w:eastAsia="方正仿宋_GBK" w:cs="Times New Roman"/>
          <w:b w:val="0"/>
          <w:bCs w:val="0"/>
          <w:sz w:val="32"/>
          <w:szCs w:val="32"/>
        </w:rPr>
        <w:t>一医院与南京中医药大学签约</w:t>
      </w:r>
      <w:r>
        <w:rPr>
          <w:rFonts w:hint="default" w:ascii="Times New Roman" w:hAnsi="Times New Roman" w:eastAsia="方正仿宋_GBK" w:cs="Times New Roman"/>
          <w:b w:val="0"/>
          <w:bCs w:val="0"/>
          <w:sz w:val="32"/>
          <w:szCs w:val="32"/>
          <w:lang w:val="en-US" w:eastAsia="zh-CN"/>
        </w:rPr>
        <w:t>共建</w:t>
      </w:r>
      <w:r>
        <w:rPr>
          <w:rFonts w:hint="default" w:ascii="Times New Roman" w:hAnsi="Times New Roman" w:eastAsia="方正仿宋_GBK" w:cs="Times New Roman"/>
          <w:b w:val="0"/>
          <w:bCs w:val="0"/>
          <w:sz w:val="32"/>
          <w:szCs w:val="32"/>
        </w:rPr>
        <w:t>附属南京临床医学院。中国药科大学与浦口区中医院、江宁中医院共建附属医院，构建医药联合、校地合作、产教融合、科教融汇的政产学研合作模式。</w:t>
      </w:r>
    </w:p>
    <w:p w14:paraId="267DF5C9">
      <w:pPr>
        <w:pageBreakBefore w:val="0"/>
        <w:widowControl/>
        <w:kinsoku/>
        <w:wordWrap/>
        <w:overflowPunct/>
        <w:topLinePunct w:val="0"/>
        <w:autoSpaceDE/>
        <w:autoSpaceDN/>
        <w:bidi w:val="0"/>
        <w:adjustRightInd/>
        <w:spacing w:line="540" w:lineRule="exact"/>
        <w:ind w:firstLine="640" w:firstLineChars="200"/>
        <w:jc w:val="left"/>
        <w:textAlignment w:val="auto"/>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lang w:eastAsia="zh-CN"/>
        </w:rPr>
        <w:t>四、</w:t>
      </w:r>
      <w:r>
        <w:rPr>
          <w:rFonts w:hint="eastAsia" w:ascii="黑体" w:hAnsi="黑体" w:eastAsia="黑体" w:cs="黑体"/>
          <w:b w:val="0"/>
          <w:bCs w:val="0"/>
          <w:color w:val="000000"/>
          <w:kern w:val="0"/>
          <w:sz w:val="32"/>
          <w:szCs w:val="32"/>
        </w:rPr>
        <w:t>存在问题及原因分析</w:t>
      </w:r>
    </w:p>
    <w:p w14:paraId="1B27E112">
      <w:pPr>
        <w:pageBreakBefore w:val="0"/>
        <w:widowControl/>
        <w:kinsoku/>
        <w:wordWrap/>
        <w:overflowPunct/>
        <w:topLinePunct w:val="0"/>
        <w:autoSpaceDE/>
        <w:autoSpaceDN/>
        <w:bidi w:val="0"/>
        <w:adjustRightInd/>
        <w:spacing w:line="540" w:lineRule="exact"/>
        <w:ind w:firstLine="640" w:firstLineChars="200"/>
        <w:jc w:val="left"/>
        <w:textAlignment w:val="auto"/>
        <w:rPr>
          <w:rFonts w:hint="eastAsia" w:ascii="仿宋_GB2312" w:hAnsi="仿宋_GB2312" w:eastAsia="仿宋_GB2312" w:cs="仿宋_GB2312"/>
          <w:b w:val="0"/>
          <w:bCs w:val="0"/>
          <w:i w:val="0"/>
          <w:iCs w:val="0"/>
          <w:color w:val="000000"/>
          <w:kern w:val="0"/>
          <w:sz w:val="32"/>
          <w:szCs w:val="32"/>
          <w:lang w:val="en-US" w:eastAsia="zh-CN" w:bidi="ar-SA"/>
        </w:rPr>
      </w:pPr>
      <w:r>
        <w:rPr>
          <w:rFonts w:hint="eastAsia" w:ascii="仿宋_GB2312" w:hAnsi="仿宋_GB2312" w:eastAsia="仿宋_GB2312" w:cs="仿宋_GB2312"/>
          <w:b w:val="0"/>
          <w:bCs w:val="0"/>
          <w:i w:val="0"/>
          <w:iCs w:val="0"/>
          <w:color w:val="000000"/>
          <w:kern w:val="0"/>
          <w:sz w:val="32"/>
          <w:szCs w:val="32"/>
          <w:lang w:val="en-US" w:eastAsia="zh-CN" w:bidi="ar-SA"/>
        </w:rPr>
        <w:t>年初项目绩效指标体系中的数量指标“市县两级由党委政府主要负责同志担任中医药工作领导小组组长比例”根据上级部门的统一部署要求，不应纳入考核体系，但指标体系未在年度内及时进行调整，因此该指标存在年末无法进行结果考核的情况。</w:t>
      </w:r>
    </w:p>
    <w:p w14:paraId="35DFD278">
      <w:pPr>
        <w:pageBreakBefore w:val="0"/>
        <w:widowControl/>
        <w:kinsoku/>
        <w:wordWrap/>
        <w:overflowPunct/>
        <w:topLinePunct w:val="0"/>
        <w:autoSpaceDE/>
        <w:autoSpaceDN/>
        <w:bidi w:val="0"/>
        <w:adjustRightInd/>
        <w:spacing w:line="540" w:lineRule="exact"/>
        <w:ind w:firstLine="640" w:firstLineChars="200"/>
        <w:jc w:val="left"/>
        <w:textAlignment w:val="auto"/>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五、有关建议</w:t>
      </w:r>
    </w:p>
    <w:p w14:paraId="1F25F780">
      <w:pPr>
        <w:pageBreakBefore w:val="0"/>
        <w:widowControl/>
        <w:kinsoku/>
        <w:wordWrap/>
        <w:overflowPunct/>
        <w:topLinePunct w:val="0"/>
        <w:autoSpaceDE/>
        <w:autoSpaceDN/>
        <w:bidi w:val="0"/>
        <w:adjustRightInd/>
        <w:spacing w:line="54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在项目实施过程中，卫健委业务处室应及时根据项目实施要求，及时调整不符合要求的考核指标，已保证指标考核体系的合理性、完整性。</w:t>
      </w:r>
    </w:p>
    <w:p w14:paraId="0C4074C6">
      <w:pPr>
        <w:pageBreakBefore w:val="0"/>
        <w:widowControl/>
        <w:kinsoku/>
        <w:wordWrap/>
        <w:overflowPunct/>
        <w:topLinePunct w:val="0"/>
        <w:autoSpaceDE/>
        <w:autoSpaceDN/>
        <w:bidi w:val="0"/>
        <w:adjustRightInd/>
        <w:spacing w:line="540" w:lineRule="exact"/>
        <w:ind w:firstLine="640" w:firstLineChars="200"/>
        <w:jc w:val="left"/>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六、评价工作开展情况</w:t>
      </w:r>
    </w:p>
    <w:p w14:paraId="30182A99">
      <w:pPr>
        <w:keepNext w:val="0"/>
        <w:keepLines w:val="0"/>
        <w:pageBreakBefore w:val="0"/>
        <w:kinsoku/>
        <w:wordWrap/>
        <w:overflowPunct/>
        <w:topLinePunct w:val="0"/>
        <w:autoSpaceDE w:val="0"/>
        <w:autoSpaceDN/>
        <w:bidi w:val="0"/>
        <w:adjustRightInd/>
        <w:snapToGrid/>
        <w:spacing w:line="300" w:lineRule="auto"/>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（一）评价基本情况</w:t>
      </w:r>
    </w:p>
    <w:p w14:paraId="0088FACC">
      <w:pPr>
        <w:widowControl/>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次绩效自评价目的是通过开展专项资金绩效自评价，进一步规范专项资金管理，强化绩效和责任意识，切实提高资金使用效益；评价遵循科学规范、客观公正和实事求是三项原则，主要采用综合评价法进行评价。</w:t>
      </w:r>
    </w:p>
    <w:p w14:paraId="7C4E1D1A">
      <w:pPr>
        <w:widowControl/>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绩效评价指标体系由决策、过程、产出和效益四部分组成。此四部分指标进一步细分为一级指标4个，二级指标</w:t>
      </w:r>
      <w:r>
        <w:rPr>
          <w:rFonts w:hint="eastAsia" w:ascii="仿宋_GB2312" w:hAnsi="仿宋_GB2312" w:eastAsia="仿宋_GB2312" w:cs="仿宋_GB2312"/>
          <w:b w:val="0"/>
          <w:bCs w:val="0"/>
          <w:sz w:val="32"/>
          <w:szCs w:val="32"/>
          <w:lang w:val="en-US" w:eastAsia="zh-CN"/>
        </w:rPr>
        <w:t>12</w:t>
      </w:r>
      <w:r>
        <w:rPr>
          <w:rFonts w:hint="eastAsia" w:ascii="仿宋_GB2312" w:hAnsi="仿宋_GB2312" w:eastAsia="仿宋_GB2312" w:cs="仿宋_GB2312"/>
          <w:b w:val="0"/>
          <w:bCs w:val="0"/>
          <w:sz w:val="32"/>
          <w:szCs w:val="32"/>
        </w:rPr>
        <w:t>个和三级指标</w:t>
      </w:r>
      <w:r>
        <w:rPr>
          <w:rFonts w:hint="eastAsia" w:ascii="仿宋_GB2312" w:hAnsi="仿宋_GB2312" w:eastAsia="仿宋_GB2312" w:cs="仿宋_GB2312"/>
          <w:b w:val="0"/>
          <w:bCs w:val="0"/>
          <w:sz w:val="32"/>
          <w:szCs w:val="32"/>
          <w:lang w:val="en-US" w:eastAsia="zh-CN"/>
        </w:rPr>
        <w:t>45</w:t>
      </w:r>
      <w:r>
        <w:rPr>
          <w:rFonts w:hint="eastAsia" w:ascii="仿宋_GB2312" w:hAnsi="仿宋_GB2312" w:eastAsia="仿宋_GB2312" w:cs="仿宋_GB2312"/>
          <w:b w:val="0"/>
          <w:bCs w:val="0"/>
          <w:sz w:val="32"/>
          <w:szCs w:val="32"/>
        </w:rPr>
        <w:t>个。</w:t>
      </w:r>
    </w:p>
    <w:p w14:paraId="57FD4733">
      <w:pPr>
        <w:keepNext w:val="0"/>
        <w:keepLines w:val="0"/>
        <w:pageBreakBefore w:val="0"/>
        <w:kinsoku/>
        <w:wordWrap/>
        <w:overflowPunct/>
        <w:topLinePunct w:val="0"/>
        <w:autoSpaceDE w:val="0"/>
        <w:autoSpaceDN/>
        <w:bidi w:val="0"/>
        <w:adjustRightInd/>
        <w:snapToGrid/>
        <w:spacing w:line="300" w:lineRule="auto"/>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（二）评价实施情况</w:t>
      </w:r>
    </w:p>
    <w:p w14:paraId="2DB85DDF">
      <w:pPr>
        <w:widowControl/>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本次自评价包括调研沟通、收集</w:t>
      </w:r>
      <w:r>
        <w:rPr>
          <w:rFonts w:hint="eastAsia" w:ascii="仿宋_GB2312" w:hAnsi="仿宋_GB2312" w:eastAsia="仿宋_GB2312" w:cs="仿宋_GB2312"/>
          <w:b w:val="0"/>
          <w:bCs w:val="0"/>
          <w:sz w:val="32"/>
          <w:szCs w:val="32"/>
          <w:lang w:eastAsia="zh-CN"/>
        </w:rPr>
        <w:t>数据</w:t>
      </w:r>
      <w:r>
        <w:rPr>
          <w:rFonts w:hint="eastAsia" w:ascii="仿宋_GB2312" w:hAnsi="仿宋_GB2312" w:eastAsia="仿宋_GB2312" w:cs="仿宋_GB2312"/>
          <w:b w:val="0"/>
          <w:bCs w:val="0"/>
          <w:sz w:val="32"/>
          <w:szCs w:val="32"/>
        </w:rPr>
        <w:t>资料、确定指标体系、明确绩效评价方法、形成评价方案、现场考评、对照体系打分、撰写评价报告等八个步骤。</w:t>
      </w:r>
    </w:p>
    <w:p w14:paraId="5220BF4F">
      <w:pPr>
        <w:widowControl/>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指标体系优先选取最具代表性、最能直接反映产出、效益的核心指标，精简实用。指标的权重根据各项指标在评价体系中的重要程度确定，突出结果导向，产出、效益类指标合计达到</w:t>
      </w:r>
      <w:r>
        <w:rPr>
          <w:rFonts w:hint="eastAsia" w:ascii="仿宋_GB2312" w:hAnsi="仿宋_GB2312" w:eastAsia="仿宋_GB2312" w:cs="仿宋_GB2312"/>
          <w:b w:val="0"/>
          <w:bCs w:val="0"/>
          <w:sz w:val="32"/>
          <w:szCs w:val="32"/>
          <w:lang w:val="en-US" w:eastAsia="zh-CN"/>
        </w:rPr>
        <w:t>70</w:t>
      </w:r>
      <w:r>
        <w:rPr>
          <w:rFonts w:hint="eastAsia" w:ascii="仿宋_GB2312" w:hAnsi="仿宋_GB2312" w:eastAsia="仿宋_GB2312" w:cs="仿宋_GB2312"/>
          <w:b w:val="0"/>
          <w:bCs w:val="0"/>
          <w:sz w:val="32"/>
          <w:szCs w:val="32"/>
        </w:rPr>
        <w:t>%。</w:t>
      </w:r>
    </w:p>
    <w:p w14:paraId="4CC6430E">
      <w:pPr>
        <w:widowControl/>
        <w:spacing w:line="560" w:lineRule="exact"/>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通过对照指标体系组织考评，逐条分析打分并形成初步结论。绩效评价结果实施百分制和四级分类：90（含）-100分为优、80（含）-90分为良、60（含）-80分为中、60分以下为差。</w:t>
      </w:r>
    </w:p>
    <w:p w14:paraId="0AAF4D9A">
      <w:pPr>
        <w:pStyle w:val="4"/>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Chars="200" w:firstLine="640" w:firstLineChars="200"/>
        <w:textAlignment w:val="auto"/>
        <w:rPr>
          <w:rFonts w:hint="eastAsia" w:ascii="仿宋_GB2312" w:hAnsi="仿宋_GB2312" w:eastAsia="仿宋_GB2312" w:cs="仿宋_GB2312"/>
          <w:b w:val="0"/>
          <w:bCs w:val="0"/>
          <w:i w:val="0"/>
          <w:iCs w:val="0"/>
          <w:color w:val="000000"/>
          <w:kern w:val="0"/>
          <w:sz w:val="32"/>
          <w:szCs w:val="32"/>
          <w:lang w:val="en-US" w:eastAsia="zh-CN" w:bidi="ar-SA"/>
        </w:rPr>
      </w:pPr>
    </w:p>
    <w:p w14:paraId="4C3354D8">
      <w:pPr>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附件：1.指标体系得分情况</w:t>
      </w:r>
    </w:p>
    <w:p w14:paraId="48C991A2">
      <w:pPr>
        <w:pageBreakBefore w:val="0"/>
        <w:widowControl/>
        <w:kinsoku/>
        <w:wordWrap/>
        <w:overflowPunct/>
        <w:topLinePunct w:val="0"/>
        <w:autoSpaceDE/>
        <w:autoSpaceDN/>
        <w:bidi w:val="0"/>
        <w:adjustRightInd/>
        <w:spacing w:line="540" w:lineRule="exact"/>
        <w:jc w:val="left"/>
        <w:textAlignment w:val="auto"/>
        <w:rPr>
          <w:rFonts w:hint="eastAsia" w:ascii="仿宋_GB2312" w:hAnsi="仿宋_GB2312" w:eastAsia="仿宋_GB2312" w:cs="仿宋_GB2312"/>
          <w:b w:val="0"/>
          <w:bCs w:val="0"/>
          <w:color w:val="000000"/>
          <w:kern w:val="0"/>
          <w:sz w:val="32"/>
          <w:szCs w:val="32"/>
        </w:rPr>
        <w:sectPr>
          <w:pgSz w:w="11906" w:h="16838"/>
          <w:pgMar w:top="1440" w:right="1800" w:bottom="1440" w:left="1800" w:header="851" w:footer="992" w:gutter="0"/>
          <w:cols w:space="425" w:num="1"/>
          <w:docGrid w:type="lines" w:linePitch="312" w:charSpace="0"/>
        </w:sectPr>
      </w:pPr>
    </w:p>
    <w:p w14:paraId="3FF2C385">
      <w:pPr>
        <w:pStyle w:val="3"/>
        <w:rPr>
          <w:rFonts w:hint="eastAsia" w:ascii="Times New Roman" w:hAnsi="Times New Roman" w:eastAsia="仿宋_GB2312" w:cs="Times New Roman"/>
          <w:b w:val="0"/>
          <w:bCs w:val="0"/>
          <w:color w:val="000000"/>
          <w:kern w:val="0"/>
          <w:sz w:val="32"/>
          <w:szCs w:val="32"/>
          <w:lang w:eastAsia="zh-CN"/>
        </w:rPr>
      </w:pPr>
      <w:r>
        <w:rPr>
          <w:rFonts w:hint="eastAsia" w:ascii="Times New Roman" w:hAnsi="Times New Roman" w:eastAsia="仿宋_GB2312" w:cs="Times New Roman"/>
          <w:b w:val="0"/>
          <w:bCs w:val="0"/>
          <w:color w:val="000000"/>
          <w:kern w:val="0"/>
          <w:sz w:val="32"/>
          <w:szCs w:val="32"/>
          <w:lang w:eastAsia="zh-CN"/>
        </w:rPr>
        <w:t>附件：</w:t>
      </w:r>
    </w:p>
    <w:p w14:paraId="7B5F0B41">
      <w:pPr>
        <w:pStyle w:val="3"/>
        <w:jc w:val="center"/>
        <w:rPr>
          <w:rFonts w:hint="eastAsia" w:ascii="方正小标宋_GBK" w:hAnsi="方正小标宋_GBK" w:eastAsia="方正小标宋_GBK" w:cs="方正小标宋_GBK"/>
          <w:b w:val="0"/>
          <w:bCs w:val="0"/>
          <w:color w:val="000000"/>
          <w:kern w:val="0"/>
          <w:sz w:val="32"/>
          <w:szCs w:val="32"/>
        </w:rPr>
      </w:pPr>
      <w:r>
        <w:rPr>
          <w:rFonts w:hint="eastAsia" w:ascii="方正小标宋_GBK" w:hAnsi="方正小标宋_GBK" w:eastAsia="方正小标宋_GBK" w:cs="方正小标宋_GBK"/>
          <w:b w:val="0"/>
          <w:bCs w:val="0"/>
          <w:color w:val="000000"/>
          <w:kern w:val="0"/>
          <w:sz w:val="32"/>
          <w:szCs w:val="32"/>
        </w:rPr>
        <w:t>指标体系得分情况</w:t>
      </w:r>
    </w:p>
    <w:tbl>
      <w:tblP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417"/>
        <w:gridCol w:w="1476"/>
        <w:gridCol w:w="7956"/>
        <w:gridCol w:w="1476"/>
        <w:gridCol w:w="1476"/>
        <w:gridCol w:w="575"/>
        <w:gridCol w:w="1298"/>
        <w:gridCol w:w="4191"/>
        <w:gridCol w:w="1274"/>
      </w:tblGrid>
      <w:tr w14:paraId="62BB6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335" w:type="pct"/>
            <w:tcBorders>
              <w:top w:val="single" w:color="000000" w:sz="4" w:space="0"/>
              <w:left w:val="single" w:color="000000" w:sz="4" w:space="0"/>
              <w:bottom w:val="single" w:color="000000" w:sz="4" w:space="0"/>
              <w:right w:val="single" w:color="000000" w:sz="4" w:space="0"/>
            </w:tcBorders>
            <w:shd w:val="clear"/>
            <w:noWrap/>
            <w:vAlign w:val="center"/>
          </w:tcPr>
          <w:p w14:paraId="4C30EAF7">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一级指标</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6767EE30">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二级指标</w:t>
            </w:r>
          </w:p>
        </w:tc>
        <w:tc>
          <w:tcPr>
            <w:tcW w:w="1881" w:type="pct"/>
            <w:tcBorders>
              <w:top w:val="single" w:color="000000" w:sz="4" w:space="0"/>
              <w:left w:val="single" w:color="000000" w:sz="4" w:space="0"/>
              <w:bottom w:val="single" w:color="000000" w:sz="4" w:space="0"/>
              <w:right w:val="single" w:color="000000" w:sz="4" w:space="0"/>
            </w:tcBorders>
            <w:shd w:val="clear"/>
            <w:noWrap/>
            <w:vAlign w:val="center"/>
          </w:tcPr>
          <w:p w14:paraId="448B8A4B">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三级指标</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36002972">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年初计划值</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1B76C482">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实际完成值</w:t>
            </w:r>
          </w:p>
        </w:tc>
        <w:tc>
          <w:tcPr>
            <w:tcW w:w="136" w:type="pct"/>
            <w:tcBorders>
              <w:top w:val="single" w:color="000000" w:sz="4" w:space="0"/>
              <w:left w:val="single" w:color="000000" w:sz="4" w:space="0"/>
              <w:bottom w:val="single" w:color="000000" w:sz="4" w:space="0"/>
              <w:right w:val="single" w:color="000000" w:sz="4" w:space="0"/>
            </w:tcBorders>
            <w:shd w:val="clear"/>
            <w:noWrap/>
            <w:vAlign w:val="center"/>
          </w:tcPr>
          <w:p w14:paraId="61D928CB">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分值</w:t>
            </w: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1EE28ECB">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得分</w:t>
            </w:r>
          </w:p>
        </w:tc>
        <w:tc>
          <w:tcPr>
            <w:tcW w:w="991" w:type="pct"/>
            <w:tcBorders>
              <w:top w:val="single" w:color="000000" w:sz="4" w:space="0"/>
              <w:left w:val="single" w:color="000000" w:sz="4" w:space="0"/>
              <w:bottom w:val="single" w:color="000000" w:sz="4" w:space="0"/>
              <w:right w:val="single" w:color="000000" w:sz="4" w:space="0"/>
            </w:tcBorders>
            <w:shd w:val="clear"/>
            <w:noWrap/>
            <w:vAlign w:val="center"/>
          </w:tcPr>
          <w:p w14:paraId="5B434191">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评价要点及评分规则</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2EC95BCC">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未完成指标原因分析</w:t>
            </w:r>
          </w:p>
        </w:tc>
      </w:tr>
      <w:tr w14:paraId="03589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335"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4E5C74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决策</w:t>
            </w:r>
            <w:r>
              <w:rPr>
                <w:rFonts w:ascii="Segoe UI" w:hAnsi="Segoe UI" w:eastAsia="Segoe UI" w:cs="Segoe UI"/>
                <w:i w:val="0"/>
                <w:iCs w:val="0"/>
                <w:color w:val="000000"/>
                <w:kern w:val="0"/>
                <w:sz w:val="18"/>
                <w:szCs w:val="18"/>
                <w:u w:val="none"/>
                <w:bdr w:val="none" w:color="auto" w:sz="0" w:space="0"/>
                <w:lang w:val="en-US" w:eastAsia="zh-CN" w:bidi="ar"/>
              </w:rPr>
              <w:t>(12)</w:t>
            </w:r>
          </w:p>
        </w:tc>
        <w:tc>
          <w:tcPr>
            <w:tcW w:w="349"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4A262C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项目立项</w:t>
            </w:r>
            <w:r>
              <w:rPr>
                <w:rFonts w:ascii="Segoe UI" w:hAnsi="Segoe UI" w:eastAsia="Segoe UI" w:cs="Segoe UI"/>
                <w:i w:val="0"/>
                <w:iCs w:val="0"/>
                <w:color w:val="000000"/>
                <w:kern w:val="0"/>
                <w:sz w:val="18"/>
                <w:szCs w:val="18"/>
                <w:u w:val="none"/>
                <w:bdr w:val="none" w:color="auto" w:sz="0" w:space="0"/>
                <w:lang w:val="en-US" w:eastAsia="zh-CN" w:bidi="ar"/>
              </w:rPr>
              <w:t>(4)</w:t>
            </w:r>
          </w:p>
        </w:tc>
        <w:tc>
          <w:tcPr>
            <w:tcW w:w="1881" w:type="pct"/>
            <w:tcBorders>
              <w:top w:val="single" w:color="000000" w:sz="4" w:space="0"/>
              <w:left w:val="single" w:color="000000" w:sz="4" w:space="0"/>
              <w:bottom w:val="single" w:color="000000" w:sz="4" w:space="0"/>
              <w:right w:val="single" w:color="000000" w:sz="4" w:space="0"/>
            </w:tcBorders>
            <w:shd w:val="clear"/>
            <w:noWrap/>
            <w:vAlign w:val="center"/>
          </w:tcPr>
          <w:p w14:paraId="6EB119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立项程序规范性</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742298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规范</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619C9E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规范</w:t>
            </w:r>
          </w:p>
        </w:tc>
        <w:tc>
          <w:tcPr>
            <w:tcW w:w="136" w:type="pct"/>
            <w:tcBorders>
              <w:top w:val="single" w:color="000000" w:sz="4" w:space="0"/>
              <w:left w:val="single" w:color="000000" w:sz="4" w:space="0"/>
              <w:bottom w:val="single" w:color="000000" w:sz="4" w:space="0"/>
              <w:right w:val="single" w:color="000000" w:sz="4" w:space="0"/>
            </w:tcBorders>
            <w:shd w:val="clear"/>
            <w:noWrap/>
            <w:vAlign w:val="center"/>
          </w:tcPr>
          <w:p w14:paraId="55B2B32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2</w:t>
            </w: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2790EBB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2</w:t>
            </w:r>
          </w:p>
        </w:tc>
        <w:tc>
          <w:tcPr>
            <w:tcW w:w="991" w:type="pct"/>
            <w:tcBorders>
              <w:top w:val="single" w:color="000000" w:sz="4" w:space="0"/>
              <w:left w:val="single" w:color="000000" w:sz="4" w:space="0"/>
              <w:bottom w:val="single" w:color="000000" w:sz="4" w:space="0"/>
              <w:right w:val="single" w:color="000000" w:sz="4" w:space="0"/>
            </w:tcBorders>
            <w:shd w:val="clear"/>
            <w:vAlign w:val="center"/>
          </w:tcPr>
          <w:p w14:paraId="22C62A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评价要点：</w:t>
            </w:r>
            <w:r>
              <w:rPr>
                <w:rFonts w:ascii="Segoe UI" w:hAnsi="Segoe UI" w:eastAsia="Segoe UI" w:cs="Segoe UI"/>
                <w:i w:val="0"/>
                <w:iCs w:val="0"/>
                <w:color w:val="000000"/>
                <w:kern w:val="0"/>
                <w:sz w:val="18"/>
                <w:szCs w:val="18"/>
                <w:u w:val="none"/>
                <w:bdr w:val="none" w:color="auto" w:sz="0" w:space="0"/>
                <w:lang w:val="en-US" w:eastAsia="zh-CN" w:bidi="ar"/>
              </w:rPr>
              <w:t xml:space="preserve"> </w:t>
            </w:r>
            <w:r>
              <w:rPr>
                <w:rStyle w:val="15"/>
                <w:bdr w:val="none" w:color="auto" w:sz="0" w:space="0"/>
                <w:lang w:val="en-US" w:eastAsia="zh-CN" w:bidi="ar"/>
              </w:rPr>
              <w:t>①项目是否按照规定的程序申请设立；</w:t>
            </w:r>
            <w:r>
              <w:rPr>
                <w:rFonts w:ascii="Segoe UI" w:hAnsi="Segoe UI" w:eastAsia="Segoe UI" w:cs="Segoe UI"/>
                <w:i w:val="0"/>
                <w:iCs w:val="0"/>
                <w:color w:val="000000"/>
                <w:kern w:val="0"/>
                <w:sz w:val="18"/>
                <w:szCs w:val="18"/>
                <w:u w:val="none"/>
                <w:bdr w:val="none" w:color="auto" w:sz="0" w:space="0"/>
                <w:lang w:val="en-US" w:eastAsia="zh-CN" w:bidi="ar"/>
              </w:rPr>
              <w:t xml:space="preserve"> </w:t>
            </w:r>
            <w:r>
              <w:rPr>
                <w:rStyle w:val="15"/>
                <w:bdr w:val="none" w:color="auto" w:sz="0" w:space="0"/>
                <w:lang w:val="en-US" w:eastAsia="zh-CN" w:bidi="ar"/>
              </w:rPr>
              <w:t>②审批文件、材料是否符合相关要求；</w:t>
            </w:r>
            <w:r>
              <w:rPr>
                <w:rFonts w:ascii="Segoe UI" w:hAnsi="Segoe UI" w:eastAsia="Segoe UI" w:cs="Segoe UI"/>
                <w:i w:val="0"/>
                <w:iCs w:val="0"/>
                <w:color w:val="000000"/>
                <w:kern w:val="0"/>
                <w:sz w:val="18"/>
                <w:szCs w:val="18"/>
                <w:u w:val="none"/>
                <w:bdr w:val="none" w:color="auto" w:sz="0" w:space="0"/>
                <w:lang w:val="en-US" w:eastAsia="zh-CN" w:bidi="ar"/>
              </w:rPr>
              <w:t xml:space="preserve"> </w:t>
            </w:r>
            <w:r>
              <w:rPr>
                <w:rStyle w:val="15"/>
                <w:bdr w:val="none" w:color="auto" w:sz="0" w:space="0"/>
                <w:lang w:val="en-US" w:eastAsia="zh-CN" w:bidi="ar"/>
              </w:rPr>
              <w:t>③事前是否已经过必要的可行性研究、专家论证、风险评估、绩效评估、集体决策。</w:t>
            </w:r>
            <w:r>
              <w:rPr>
                <w:rFonts w:ascii="Segoe UI" w:hAnsi="Segoe UI" w:eastAsia="Segoe UI" w:cs="Segoe UI"/>
                <w:i w:val="0"/>
                <w:iCs w:val="0"/>
                <w:color w:val="000000"/>
                <w:kern w:val="0"/>
                <w:sz w:val="18"/>
                <w:szCs w:val="18"/>
                <w:u w:val="none"/>
                <w:bdr w:val="none" w:color="auto" w:sz="0" w:space="0"/>
                <w:lang w:val="en-US" w:eastAsia="zh-CN" w:bidi="ar"/>
              </w:rPr>
              <w:t xml:space="preserve"> </w:t>
            </w:r>
            <w:r>
              <w:rPr>
                <w:rStyle w:val="15"/>
                <w:bdr w:val="none" w:color="auto" w:sz="0" w:space="0"/>
                <w:lang w:val="en-US" w:eastAsia="zh-CN" w:bidi="ar"/>
              </w:rPr>
              <w:t>评分规则：以上评价要点各占</w:t>
            </w:r>
            <w:r>
              <w:rPr>
                <w:rFonts w:ascii="Segoe UI" w:hAnsi="Segoe UI" w:eastAsia="Segoe UI" w:cs="Segoe UI"/>
                <w:i w:val="0"/>
                <w:iCs w:val="0"/>
                <w:color w:val="000000"/>
                <w:kern w:val="0"/>
                <w:sz w:val="18"/>
                <w:szCs w:val="18"/>
                <w:u w:val="none"/>
                <w:bdr w:val="none" w:color="auto" w:sz="0" w:space="0"/>
                <w:lang w:val="en-US" w:eastAsia="zh-CN" w:bidi="ar"/>
              </w:rPr>
              <w:t>1/3</w:t>
            </w:r>
            <w:r>
              <w:rPr>
                <w:rStyle w:val="15"/>
                <w:bdr w:val="none" w:color="auto" w:sz="0" w:space="0"/>
                <w:lang w:val="en-US" w:eastAsia="zh-CN" w:bidi="ar"/>
              </w:rPr>
              <w:t>权重，每个要点执行情况分达成、部分达成、未达成三档，按</w:t>
            </w:r>
            <w:r>
              <w:rPr>
                <w:rFonts w:ascii="Segoe UI" w:hAnsi="Segoe UI" w:eastAsia="Segoe UI" w:cs="Segoe UI"/>
                <w:i w:val="0"/>
                <w:iCs w:val="0"/>
                <w:color w:val="000000"/>
                <w:kern w:val="0"/>
                <w:sz w:val="18"/>
                <w:szCs w:val="18"/>
                <w:u w:val="none"/>
                <w:bdr w:val="none" w:color="auto" w:sz="0" w:space="0"/>
                <w:lang w:val="en-US" w:eastAsia="zh-CN" w:bidi="ar"/>
              </w:rPr>
              <w:t>100%-80%</w:t>
            </w:r>
            <w:r>
              <w:rPr>
                <w:rStyle w:val="15"/>
                <w:bdr w:val="none" w:color="auto" w:sz="0" w:space="0"/>
                <w:lang w:val="en-US" w:eastAsia="zh-CN" w:bidi="ar"/>
              </w:rPr>
              <w:t>（含）、</w:t>
            </w:r>
            <w:r>
              <w:rPr>
                <w:rFonts w:ascii="Segoe UI" w:hAnsi="Segoe UI" w:eastAsia="Segoe UI" w:cs="Segoe UI"/>
                <w:i w:val="0"/>
                <w:iCs w:val="0"/>
                <w:color w:val="000000"/>
                <w:kern w:val="0"/>
                <w:sz w:val="18"/>
                <w:szCs w:val="18"/>
                <w:u w:val="none"/>
                <w:bdr w:val="none" w:color="auto" w:sz="0" w:space="0"/>
                <w:lang w:val="en-US" w:eastAsia="zh-CN" w:bidi="ar"/>
              </w:rPr>
              <w:t>80%-60%</w:t>
            </w:r>
            <w:r>
              <w:rPr>
                <w:rStyle w:val="15"/>
                <w:bdr w:val="none" w:color="auto" w:sz="0" w:space="0"/>
                <w:lang w:val="en-US" w:eastAsia="zh-CN" w:bidi="ar"/>
              </w:rPr>
              <w:t>（含）、</w:t>
            </w:r>
            <w:r>
              <w:rPr>
                <w:rFonts w:ascii="Segoe UI" w:hAnsi="Segoe UI" w:eastAsia="Segoe UI" w:cs="Segoe UI"/>
                <w:i w:val="0"/>
                <w:iCs w:val="0"/>
                <w:color w:val="000000"/>
                <w:kern w:val="0"/>
                <w:sz w:val="18"/>
                <w:szCs w:val="18"/>
                <w:u w:val="none"/>
                <w:bdr w:val="none" w:color="auto" w:sz="0" w:space="0"/>
                <w:lang w:val="en-US" w:eastAsia="zh-CN" w:bidi="ar"/>
              </w:rPr>
              <w:t>60%-0%</w:t>
            </w:r>
            <w:r>
              <w:rPr>
                <w:rStyle w:val="15"/>
                <w:bdr w:val="none" w:color="auto" w:sz="0" w:space="0"/>
                <w:lang w:val="en-US" w:eastAsia="zh-CN" w:bidi="ar"/>
              </w:rPr>
              <w:t>评分。</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6E7CB965">
            <w:pPr>
              <w:jc w:val="left"/>
              <w:rPr>
                <w:rFonts w:hint="default" w:ascii="Segoe UI" w:hAnsi="Segoe UI" w:eastAsia="Segoe UI" w:cs="Segoe UI"/>
                <w:i w:val="0"/>
                <w:iCs w:val="0"/>
                <w:color w:val="000000"/>
                <w:sz w:val="18"/>
                <w:szCs w:val="18"/>
                <w:u w:val="none"/>
              </w:rPr>
            </w:pPr>
          </w:p>
        </w:tc>
      </w:tr>
      <w:tr w14:paraId="58D55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6676C6D8">
            <w:pPr>
              <w:jc w:val="left"/>
              <w:rPr>
                <w:rFonts w:hint="eastAsia" w:ascii="宋体" w:hAnsi="宋体" w:eastAsia="宋体" w:cs="宋体"/>
                <w:i w:val="0"/>
                <w:iCs w:val="0"/>
                <w:color w:val="000000"/>
                <w:sz w:val="18"/>
                <w:szCs w:val="18"/>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78CECA4E">
            <w:pPr>
              <w:jc w:val="left"/>
              <w:rPr>
                <w:rFonts w:hint="eastAsia" w:ascii="宋体" w:hAnsi="宋体" w:eastAsia="宋体" w:cs="宋体"/>
                <w:i w:val="0"/>
                <w:iCs w:val="0"/>
                <w:color w:val="000000"/>
                <w:sz w:val="18"/>
                <w:szCs w:val="18"/>
                <w:u w:val="none"/>
              </w:rPr>
            </w:pPr>
          </w:p>
        </w:tc>
        <w:tc>
          <w:tcPr>
            <w:tcW w:w="1881" w:type="pct"/>
            <w:tcBorders>
              <w:top w:val="single" w:color="000000" w:sz="4" w:space="0"/>
              <w:left w:val="single" w:color="000000" w:sz="4" w:space="0"/>
              <w:bottom w:val="single" w:color="000000" w:sz="4" w:space="0"/>
              <w:right w:val="single" w:color="000000" w:sz="4" w:space="0"/>
            </w:tcBorders>
            <w:shd w:val="clear"/>
            <w:noWrap/>
            <w:vAlign w:val="center"/>
          </w:tcPr>
          <w:p w14:paraId="16FFB6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立项依据充分性</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562964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充分</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7B6641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充分</w:t>
            </w:r>
          </w:p>
        </w:tc>
        <w:tc>
          <w:tcPr>
            <w:tcW w:w="136" w:type="pct"/>
            <w:tcBorders>
              <w:top w:val="single" w:color="000000" w:sz="4" w:space="0"/>
              <w:left w:val="single" w:color="000000" w:sz="4" w:space="0"/>
              <w:bottom w:val="single" w:color="000000" w:sz="4" w:space="0"/>
              <w:right w:val="single" w:color="000000" w:sz="4" w:space="0"/>
            </w:tcBorders>
            <w:shd w:val="clear"/>
            <w:noWrap/>
            <w:vAlign w:val="center"/>
          </w:tcPr>
          <w:p w14:paraId="2632690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2</w:t>
            </w: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11711B0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2</w:t>
            </w:r>
          </w:p>
        </w:tc>
        <w:tc>
          <w:tcPr>
            <w:tcW w:w="991" w:type="pct"/>
            <w:tcBorders>
              <w:top w:val="single" w:color="000000" w:sz="4" w:space="0"/>
              <w:left w:val="single" w:color="000000" w:sz="4" w:space="0"/>
              <w:bottom w:val="single" w:color="000000" w:sz="4" w:space="0"/>
              <w:right w:val="single" w:color="000000" w:sz="4" w:space="0"/>
            </w:tcBorders>
            <w:shd w:val="clear"/>
            <w:vAlign w:val="center"/>
          </w:tcPr>
          <w:p w14:paraId="251C55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评价要点：</w:t>
            </w:r>
            <w:r>
              <w:rPr>
                <w:rFonts w:ascii="Segoe UI" w:hAnsi="Segoe UI" w:eastAsia="Segoe UI" w:cs="Segoe UI"/>
                <w:i w:val="0"/>
                <w:iCs w:val="0"/>
                <w:color w:val="000000"/>
                <w:kern w:val="0"/>
                <w:sz w:val="18"/>
                <w:szCs w:val="18"/>
                <w:u w:val="none"/>
                <w:bdr w:val="none" w:color="auto" w:sz="0" w:space="0"/>
                <w:lang w:val="en-US" w:eastAsia="zh-CN" w:bidi="ar"/>
              </w:rPr>
              <w:t xml:space="preserve"> </w:t>
            </w:r>
            <w:r>
              <w:rPr>
                <w:rStyle w:val="15"/>
                <w:bdr w:val="none" w:color="auto" w:sz="0" w:space="0"/>
                <w:lang w:val="en-US" w:eastAsia="zh-CN" w:bidi="ar"/>
              </w:rPr>
              <w:t>①项目立项是否符合国家法律法规、国民经济发展规划和相关政策；</w:t>
            </w:r>
            <w:r>
              <w:rPr>
                <w:rFonts w:ascii="Segoe UI" w:hAnsi="Segoe UI" w:eastAsia="Segoe UI" w:cs="Segoe UI"/>
                <w:i w:val="0"/>
                <w:iCs w:val="0"/>
                <w:color w:val="000000"/>
                <w:kern w:val="0"/>
                <w:sz w:val="18"/>
                <w:szCs w:val="18"/>
                <w:u w:val="none"/>
                <w:bdr w:val="none" w:color="auto" w:sz="0" w:space="0"/>
                <w:lang w:val="en-US" w:eastAsia="zh-CN" w:bidi="ar"/>
              </w:rPr>
              <w:t xml:space="preserve"> </w:t>
            </w:r>
            <w:r>
              <w:rPr>
                <w:rStyle w:val="15"/>
                <w:bdr w:val="none" w:color="auto" w:sz="0" w:space="0"/>
                <w:lang w:val="en-US" w:eastAsia="zh-CN" w:bidi="ar"/>
              </w:rPr>
              <w:t>②项目立项是否符合行业发展规划和政策要求；</w:t>
            </w:r>
            <w:r>
              <w:rPr>
                <w:rFonts w:ascii="Segoe UI" w:hAnsi="Segoe UI" w:eastAsia="Segoe UI" w:cs="Segoe UI"/>
                <w:i w:val="0"/>
                <w:iCs w:val="0"/>
                <w:color w:val="000000"/>
                <w:kern w:val="0"/>
                <w:sz w:val="18"/>
                <w:szCs w:val="18"/>
                <w:u w:val="none"/>
                <w:bdr w:val="none" w:color="auto" w:sz="0" w:space="0"/>
                <w:lang w:val="en-US" w:eastAsia="zh-CN" w:bidi="ar"/>
              </w:rPr>
              <w:t xml:space="preserve"> </w:t>
            </w:r>
            <w:r>
              <w:rPr>
                <w:rStyle w:val="15"/>
                <w:bdr w:val="none" w:color="auto" w:sz="0" w:space="0"/>
                <w:lang w:val="en-US" w:eastAsia="zh-CN" w:bidi="ar"/>
              </w:rPr>
              <w:t>③项目立项是否与部门职责范围相符，属于部门履职所需；</w:t>
            </w:r>
            <w:r>
              <w:rPr>
                <w:rFonts w:ascii="Segoe UI" w:hAnsi="Segoe UI" w:eastAsia="Segoe UI" w:cs="Segoe UI"/>
                <w:i w:val="0"/>
                <w:iCs w:val="0"/>
                <w:color w:val="000000"/>
                <w:kern w:val="0"/>
                <w:sz w:val="18"/>
                <w:szCs w:val="18"/>
                <w:u w:val="none"/>
                <w:bdr w:val="none" w:color="auto" w:sz="0" w:space="0"/>
                <w:lang w:val="en-US" w:eastAsia="zh-CN" w:bidi="ar"/>
              </w:rPr>
              <w:t xml:space="preserve"> </w:t>
            </w:r>
            <w:r>
              <w:rPr>
                <w:rStyle w:val="15"/>
                <w:bdr w:val="none" w:color="auto" w:sz="0" w:space="0"/>
                <w:lang w:val="en-US" w:eastAsia="zh-CN" w:bidi="ar"/>
              </w:rPr>
              <w:t>④项目是否属于公共财政支持范围，是否符合中央、地方事权支出责任划分原则；</w:t>
            </w:r>
            <w:r>
              <w:rPr>
                <w:rFonts w:ascii="Segoe UI" w:hAnsi="Segoe UI" w:eastAsia="Segoe UI" w:cs="Segoe UI"/>
                <w:i w:val="0"/>
                <w:iCs w:val="0"/>
                <w:color w:val="000000"/>
                <w:kern w:val="0"/>
                <w:sz w:val="18"/>
                <w:szCs w:val="18"/>
                <w:u w:val="none"/>
                <w:bdr w:val="none" w:color="auto" w:sz="0" w:space="0"/>
                <w:lang w:val="en-US" w:eastAsia="zh-CN" w:bidi="ar"/>
              </w:rPr>
              <w:t xml:space="preserve"> </w:t>
            </w:r>
            <w:r>
              <w:rPr>
                <w:rStyle w:val="15"/>
                <w:bdr w:val="none" w:color="auto" w:sz="0" w:space="0"/>
                <w:lang w:val="en-US" w:eastAsia="zh-CN" w:bidi="ar"/>
              </w:rPr>
              <w:t>⑤项目是否与相关部门同类项目或部门内部相关项目重复。</w:t>
            </w:r>
            <w:r>
              <w:rPr>
                <w:rFonts w:ascii="Segoe UI" w:hAnsi="Segoe UI" w:eastAsia="Segoe UI" w:cs="Segoe UI"/>
                <w:i w:val="0"/>
                <w:iCs w:val="0"/>
                <w:color w:val="000000"/>
                <w:kern w:val="0"/>
                <w:sz w:val="18"/>
                <w:szCs w:val="18"/>
                <w:u w:val="none"/>
                <w:bdr w:val="none" w:color="auto" w:sz="0" w:space="0"/>
                <w:lang w:val="en-US" w:eastAsia="zh-CN" w:bidi="ar"/>
              </w:rPr>
              <w:t xml:space="preserve"> </w:t>
            </w:r>
            <w:r>
              <w:rPr>
                <w:rStyle w:val="15"/>
                <w:bdr w:val="none" w:color="auto" w:sz="0" w:space="0"/>
                <w:lang w:val="en-US" w:eastAsia="zh-CN" w:bidi="ar"/>
              </w:rPr>
              <w:t>评分规则：以上评价要点各占</w:t>
            </w:r>
            <w:r>
              <w:rPr>
                <w:rFonts w:ascii="Segoe UI" w:hAnsi="Segoe UI" w:eastAsia="Segoe UI" w:cs="Segoe UI"/>
                <w:i w:val="0"/>
                <w:iCs w:val="0"/>
                <w:color w:val="000000"/>
                <w:kern w:val="0"/>
                <w:sz w:val="18"/>
                <w:szCs w:val="18"/>
                <w:u w:val="none"/>
                <w:bdr w:val="none" w:color="auto" w:sz="0" w:space="0"/>
                <w:lang w:val="en-US" w:eastAsia="zh-CN" w:bidi="ar"/>
              </w:rPr>
              <w:t>20%</w:t>
            </w:r>
            <w:r>
              <w:rPr>
                <w:rStyle w:val="15"/>
                <w:bdr w:val="none" w:color="auto" w:sz="0" w:space="0"/>
                <w:lang w:val="en-US" w:eastAsia="zh-CN" w:bidi="ar"/>
              </w:rPr>
              <w:t>权重，每个要点执行情况分达成、部分达成、未达成三档，按</w:t>
            </w:r>
            <w:r>
              <w:rPr>
                <w:rFonts w:ascii="Segoe UI" w:hAnsi="Segoe UI" w:eastAsia="Segoe UI" w:cs="Segoe UI"/>
                <w:i w:val="0"/>
                <w:iCs w:val="0"/>
                <w:color w:val="000000"/>
                <w:kern w:val="0"/>
                <w:sz w:val="18"/>
                <w:szCs w:val="18"/>
                <w:u w:val="none"/>
                <w:bdr w:val="none" w:color="auto" w:sz="0" w:space="0"/>
                <w:lang w:val="en-US" w:eastAsia="zh-CN" w:bidi="ar"/>
              </w:rPr>
              <w:t>100%-80%</w:t>
            </w:r>
            <w:r>
              <w:rPr>
                <w:rStyle w:val="15"/>
                <w:bdr w:val="none" w:color="auto" w:sz="0" w:space="0"/>
                <w:lang w:val="en-US" w:eastAsia="zh-CN" w:bidi="ar"/>
              </w:rPr>
              <w:t>（含）、</w:t>
            </w:r>
            <w:r>
              <w:rPr>
                <w:rFonts w:ascii="Segoe UI" w:hAnsi="Segoe UI" w:eastAsia="Segoe UI" w:cs="Segoe UI"/>
                <w:i w:val="0"/>
                <w:iCs w:val="0"/>
                <w:color w:val="000000"/>
                <w:kern w:val="0"/>
                <w:sz w:val="18"/>
                <w:szCs w:val="18"/>
                <w:u w:val="none"/>
                <w:bdr w:val="none" w:color="auto" w:sz="0" w:space="0"/>
                <w:lang w:val="en-US" w:eastAsia="zh-CN" w:bidi="ar"/>
              </w:rPr>
              <w:t>80%-60%</w:t>
            </w:r>
            <w:r>
              <w:rPr>
                <w:rStyle w:val="15"/>
                <w:bdr w:val="none" w:color="auto" w:sz="0" w:space="0"/>
                <w:lang w:val="en-US" w:eastAsia="zh-CN" w:bidi="ar"/>
              </w:rPr>
              <w:t>（含）、</w:t>
            </w:r>
            <w:r>
              <w:rPr>
                <w:rFonts w:ascii="Segoe UI" w:hAnsi="Segoe UI" w:eastAsia="Segoe UI" w:cs="Segoe UI"/>
                <w:i w:val="0"/>
                <w:iCs w:val="0"/>
                <w:color w:val="000000"/>
                <w:kern w:val="0"/>
                <w:sz w:val="18"/>
                <w:szCs w:val="18"/>
                <w:u w:val="none"/>
                <w:bdr w:val="none" w:color="auto" w:sz="0" w:space="0"/>
                <w:lang w:val="en-US" w:eastAsia="zh-CN" w:bidi="ar"/>
              </w:rPr>
              <w:t>60%-0%</w:t>
            </w:r>
            <w:r>
              <w:rPr>
                <w:rStyle w:val="15"/>
                <w:bdr w:val="none" w:color="auto" w:sz="0" w:space="0"/>
                <w:lang w:val="en-US" w:eastAsia="zh-CN" w:bidi="ar"/>
              </w:rPr>
              <w:t>评分。</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0EEFEB8C">
            <w:pPr>
              <w:jc w:val="left"/>
              <w:rPr>
                <w:rFonts w:hint="default" w:ascii="Segoe UI" w:hAnsi="Segoe UI" w:eastAsia="Segoe UI" w:cs="Segoe UI"/>
                <w:i w:val="0"/>
                <w:iCs w:val="0"/>
                <w:color w:val="000000"/>
                <w:sz w:val="18"/>
                <w:szCs w:val="18"/>
                <w:u w:val="none"/>
              </w:rPr>
            </w:pPr>
          </w:p>
        </w:tc>
      </w:tr>
      <w:tr w14:paraId="3AD5D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195E7125">
            <w:pPr>
              <w:jc w:val="left"/>
              <w:rPr>
                <w:rFonts w:hint="eastAsia" w:ascii="宋体" w:hAnsi="宋体" w:eastAsia="宋体" w:cs="宋体"/>
                <w:i w:val="0"/>
                <w:iCs w:val="0"/>
                <w:color w:val="000000"/>
                <w:sz w:val="18"/>
                <w:szCs w:val="18"/>
                <w:u w:val="none"/>
              </w:rPr>
            </w:pPr>
          </w:p>
        </w:tc>
        <w:tc>
          <w:tcPr>
            <w:tcW w:w="349"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2ACBBE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绩效目标</w:t>
            </w:r>
            <w:r>
              <w:rPr>
                <w:rFonts w:ascii="Segoe UI" w:hAnsi="Segoe UI" w:eastAsia="Segoe UI" w:cs="Segoe UI"/>
                <w:i w:val="0"/>
                <w:iCs w:val="0"/>
                <w:color w:val="000000"/>
                <w:kern w:val="0"/>
                <w:sz w:val="18"/>
                <w:szCs w:val="18"/>
                <w:u w:val="none"/>
                <w:bdr w:val="none" w:color="auto" w:sz="0" w:space="0"/>
                <w:lang w:val="en-US" w:eastAsia="zh-CN" w:bidi="ar"/>
              </w:rPr>
              <w:t>(4)</w:t>
            </w:r>
          </w:p>
        </w:tc>
        <w:tc>
          <w:tcPr>
            <w:tcW w:w="1881" w:type="pct"/>
            <w:tcBorders>
              <w:top w:val="single" w:color="000000" w:sz="4" w:space="0"/>
              <w:left w:val="single" w:color="000000" w:sz="4" w:space="0"/>
              <w:bottom w:val="single" w:color="000000" w:sz="4" w:space="0"/>
              <w:right w:val="single" w:color="000000" w:sz="4" w:space="0"/>
            </w:tcBorders>
            <w:shd w:val="clear"/>
            <w:noWrap/>
            <w:vAlign w:val="center"/>
          </w:tcPr>
          <w:p w14:paraId="209BBB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绩效目标合理性</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7BCEC6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合理</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1E044F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合理</w:t>
            </w:r>
          </w:p>
        </w:tc>
        <w:tc>
          <w:tcPr>
            <w:tcW w:w="136" w:type="pct"/>
            <w:tcBorders>
              <w:top w:val="single" w:color="000000" w:sz="4" w:space="0"/>
              <w:left w:val="single" w:color="000000" w:sz="4" w:space="0"/>
              <w:bottom w:val="single" w:color="000000" w:sz="4" w:space="0"/>
              <w:right w:val="single" w:color="000000" w:sz="4" w:space="0"/>
            </w:tcBorders>
            <w:shd w:val="clear"/>
            <w:noWrap/>
            <w:vAlign w:val="center"/>
          </w:tcPr>
          <w:p w14:paraId="7DC3E7F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2</w:t>
            </w: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05C1667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2</w:t>
            </w:r>
          </w:p>
        </w:tc>
        <w:tc>
          <w:tcPr>
            <w:tcW w:w="991" w:type="pct"/>
            <w:tcBorders>
              <w:top w:val="single" w:color="000000" w:sz="4" w:space="0"/>
              <w:left w:val="single" w:color="000000" w:sz="4" w:space="0"/>
              <w:bottom w:val="single" w:color="000000" w:sz="4" w:space="0"/>
              <w:right w:val="single" w:color="000000" w:sz="4" w:space="0"/>
            </w:tcBorders>
            <w:shd w:val="clear"/>
            <w:vAlign w:val="center"/>
          </w:tcPr>
          <w:p w14:paraId="3E90CF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评价要点：</w:t>
            </w:r>
            <w:r>
              <w:rPr>
                <w:rFonts w:ascii="Segoe UI" w:hAnsi="Segoe UI" w:eastAsia="Segoe UI" w:cs="Segoe UI"/>
                <w:i w:val="0"/>
                <w:iCs w:val="0"/>
                <w:color w:val="000000"/>
                <w:kern w:val="0"/>
                <w:sz w:val="18"/>
                <w:szCs w:val="18"/>
                <w:u w:val="none"/>
                <w:bdr w:val="none" w:color="auto" w:sz="0" w:space="0"/>
                <w:lang w:val="en-US" w:eastAsia="zh-CN" w:bidi="ar"/>
              </w:rPr>
              <w:t xml:space="preserve"> </w:t>
            </w:r>
            <w:r>
              <w:rPr>
                <w:rStyle w:val="15"/>
                <w:bdr w:val="none" w:color="auto" w:sz="0" w:space="0"/>
                <w:lang w:val="en-US" w:eastAsia="zh-CN" w:bidi="ar"/>
              </w:rPr>
              <w:t>（如未设定预算绩效目标，也可考核其他工作任务目标）</w:t>
            </w:r>
            <w:r>
              <w:rPr>
                <w:rFonts w:ascii="Segoe UI" w:hAnsi="Segoe UI" w:eastAsia="Segoe UI" w:cs="Segoe UI"/>
                <w:i w:val="0"/>
                <w:iCs w:val="0"/>
                <w:color w:val="000000"/>
                <w:kern w:val="0"/>
                <w:sz w:val="18"/>
                <w:szCs w:val="18"/>
                <w:u w:val="none"/>
                <w:bdr w:val="none" w:color="auto" w:sz="0" w:space="0"/>
                <w:lang w:val="en-US" w:eastAsia="zh-CN" w:bidi="ar"/>
              </w:rPr>
              <w:t xml:space="preserve"> </w:t>
            </w:r>
            <w:r>
              <w:rPr>
                <w:rStyle w:val="15"/>
                <w:bdr w:val="none" w:color="auto" w:sz="0" w:space="0"/>
                <w:lang w:val="en-US" w:eastAsia="zh-CN" w:bidi="ar"/>
              </w:rPr>
              <w:t>①项目是否有绩效目标；</w:t>
            </w:r>
            <w:r>
              <w:rPr>
                <w:rFonts w:ascii="Segoe UI" w:hAnsi="Segoe UI" w:eastAsia="Segoe UI" w:cs="Segoe UI"/>
                <w:i w:val="0"/>
                <w:iCs w:val="0"/>
                <w:color w:val="000000"/>
                <w:kern w:val="0"/>
                <w:sz w:val="18"/>
                <w:szCs w:val="18"/>
                <w:u w:val="none"/>
                <w:bdr w:val="none" w:color="auto" w:sz="0" w:space="0"/>
                <w:lang w:val="en-US" w:eastAsia="zh-CN" w:bidi="ar"/>
              </w:rPr>
              <w:t xml:space="preserve"> </w:t>
            </w:r>
            <w:r>
              <w:rPr>
                <w:rStyle w:val="15"/>
                <w:bdr w:val="none" w:color="auto" w:sz="0" w:space="0"/>
                <w:lang w:val="en-US" w:eastAsia="zh-CN" w:bidi="ar"/>
              </w:rPr>
              <w:t>②项目绩效目标与实际工作内容是否具有相关性；</w:t>
            </w:r>
            <w:r>
              <w:rPr>
                <w:rFonts w:ascii="Segoe UI" w:hAnsi="Segoe UI" w:eastAsia="Segoe UI" w:cs="Segoe UI"/>
                <w:i w:val="0"/>
                <w:iCs w:val="0"/>
                <w:color w:val="000000"/>
                <w:kern w:val="0"/>
                <w:sz w:val="18"/>
                <w:szCs w:val="18"/>
                <w:u w:val="none"/>
                <w:bdr w:val="none" w:color="auto" w:sz="0" w:space="0"/>
                <w:lang w:val="en-US" w:eastAsia="zh-CN" w:bidi="ar"/>
              </w:rPr>
              <w:t xml:space="preserve"> </w:t>
            </w:r>
            <w:r>
              <w:rPr>
                <w:rStyle w:val="15"/>
                <w:bdr w:val="none" w:color="auto" w:sz="0" w:space="0"/>
                <w:lang w:val="en-US" w:eastAsia="zh-CN" w:bidi="ar"/>
              </w:rPr>
              <w:t>③项目预期产出效益和效果是否符合正常的业绩水平；</w:t>
            </w:r>
            <w:r>
              <w:rPr>
                <w:rFonts w:ascii="Segoe UI" w:hAnsi="Segoe UI" w:eastAsia="Segoe UI" w:cs="Segoe UI"/>
                <w:i w:val="0"/>
                <w:iCs w:val="0"/>
                <w:color w:val="000000"/>
                <w:kern w:val="0"/>
                <w:sz w:val="18"/>
                <w:szCs w:val="18"/>
                <w:u w:val="none"/>
                <w:bdr w:val="none" w:color="auto" w:sz="0" w:space="0"/>
                <w:lang w:val="en-US" w:eastAsia="zh-CN" w:bidi="ar"/>
              </w:rPr>
              <w:t xml:space="preserve"> </w:t>
            </w:r>
            <w:r>
              <w:rPr>
                <w:rStyle w:val="15"/>
                <w:bdr w:val="none" w:color="auto" w:sz="0" w:space="0"/>
                <w:lang w:val="en-US" w:eastAsia="zh-CN" w:bidi="ar"/>
              </w:rPr>
              <w:t>④是否与预算确定的项目投资额或资金量相匹配。</w:t>
            </w:r>
            <w:r>
              <w:rPr>
                <w:rFonts w:ascii="Segoe UI" w:hAnsi="Segoe UI" w:eastAsia="Segoe UI" w:cs="Segoe UI"/>
                <w:i w:val="0"/>
                <w:iCs w:val="0"/>
                <w:color w:val="000000"/>
                <w:kern w:val="0"/>
                <w:sz w:val="18"/>
                <w:szCs w:val="18"/>
                <w:u w:val="none"/>
                <w:bdr w:val="none" w:color="auto" w:sz="0" w:space="0"/>
                <w:lang w:val="en-US" w:eastAsia="zh-CN" w:bidi="ar"/>
              </w:rPr>
              <w:t xml:space="preserve"> </w:t>
            </w:r>
            <w:r>
              <w:rPr>
                <w:rStyle w:val="15"/>
                <w:bdr w:val="none" w:color="auto" w:sz="0" w:space="0"/>
                <w:lang w:val="en-US" w:eastAsia="zh-CN" w:bidi="ar"/>
              </w:rPr>
              <w:t>评分规则：以上评价要点各占</w:t>
            </w:r>
            <w:r>
              <w:rPr>
                <w:rFonts w:ascii="Segoe UI" w:hAnsi="Segoe UI" w:eastAsia="Segoe UI" w:cs="Segoe UI"/>
                <w:i w:val="0"/>
                <w:iCs w:val="0"/>
                <w:color w:val="000000"/>
                <w:kern w:val="0"/>
                <w:sz w:val="18"/>
                <w:szCs w:val="18"/>
                <w:u w:val="none"/>
                <w:bdr w:val="none" w:color="auto" w:sz="0" w:space="0"/>
                <w:lang w:val="en-US" w:eastAsia="zh-CN" w:bidi="ar"/>
              </w:rPr>
              <w:t>25%</w:t>
            </w:r>
            <w:r>
              <w:rPr>
                <w:rStyle w:val="15"/>
                <w:bdr w:val="none" w:color="auto" w:sz="0" w:space="0"/>
                <w:lang w:val="en-US" w:eastAsia="zh-CN" w:bidi="ar"/>
              </w:rPr>
              <w:t>权重，每个要点执行情况分达成、部分达成、未达成三档，按</w:t>
            </w:r>
            <w:r>
              <w:rPr>
                <w:rFonts w:ascii="Segoe UI" w:hAnsi="Segoe UI" w:eastAsia="Segoe UI" w:cs="Segoe UI"/>
                <w:i w:val="0"/>
                <w:iCs w:val="0"/>
                <w:color w:val="000000"/>
                <w:kern w:val="0"/>
                <w:sz w:val="18"/>
                <w:szCs w:val="18"/>
                <w:u w:val="none"/>
                <w:bdr w:val="none" w:color="auto" w:sz="0" w:space="0"/>
                <w:lang w:val="en-US" w:eastAsia="zh-CN" w:bidi="ar"/>
              </w:rPr>
              <w:t>100%-80%</w:t>
            </w:r>
            <w:r>
              <w:rPr>
                <w:rStyle w:val="15"/>
                <w:bdr w:val="none" w:color="auto" w:sz="0" w:space="0"/>
                <w:lang w:val="en-US" w:eastAsia="zh-CN" w:bidi="ar"/>
              </w:rPr>
              <w:t>（含）、</w:t>
            </w:r>
            <w:r>
              <w:rPr>
                <w:rFonts w:ascii="Segoe UI" w:hAnsi="Segoe UI" w:eastAsia="Segoe UI" w:cs="Segoe UI"/>
                <w:i w:val="0"/>
                <w:iCs w:val="0"/>
                <w:color w:val="000000"/>
                <w:kern w:val="0"/>
                <w:sz w:val="18"/>
                <w:szCs w:val="18"/>
                <w:u w:val="none"/>
                <w:bdr w:val="none" w:color="auto" w:sz="0" w:space="0"/>
                <w:lang w:val="en-US" w:eastAsia="zh-CN" w:bidi="ar"/>
              </w:rPr>
              <w:t>80%-60%</w:t>
            </w:r>
            <w:r>
              <w:rPr>
                <w:rStyle w:val="15"/>
                <w:bdr w:val="none" w:color="auto" w:sz="0" w:space="0"/>
                <w:lang w:val="en-US" w:eastAsia="zh-CN" w:bidi="ar"/>
              </w:rPr>
              <w:t>（含）、</w:t>
            </w:r>
            <w:r>
              <w:rPr>
                <w:rFonts w:ascii="Segoe UI" w:hAnsi="Segoe UI" w:eastAsia="Segoe UI" w:cs="Segoe UI"/>
                <w:i w:val="0"/>
                <w:iCs w:val="0"/>
                <w:color w:val="000000"/>
                <w:kern w:val="0"/>
                <w:sz w:val="18"/>
                <w:szCs w:val="18"/>
                <w:u w:val="none"/>
                <w:bdr w:val="none" w:color="auto" w:sz="0" w:space="0"/>
                <w:lang w:val="en-US" w:eastAsia="zh-CN" w:bidi="ar"/>
              </w:rPr>
              <w:t>60%-0%</w:t>
            </w:r>
            <w:r>
              <w:rPr>
                <w:rStyle w:val="15"/>
                <w:bdr w:val="none" w:color="auto" w:sz="0" w:space="0"/>
                <w:lang w:val="en-US" w:eastAsia="zh-CN" w:bidi="ar"/>
              </w:rPr>
              <w:t>评分。</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31C209E8">
            <w:pPr>
              <w:jc w:val="left"/>
              <w:rPr>
                <w:rFonts w:hint="default" w:ascii="Segoe UI" w:hAnsi="Segoe UI" w:eastAsia="Segoe UI" w:cs="Segoe UI"/>
                <w:i w:val="0"/>
                <w:iCs w:val="0"/>
                <w:color w:val="000000"/>
                <w:sz w:val="18"/>
                <w:szCs w:val="18"/>
                <w:u w:val="none"/>
              </w:rPr>
            </w:pPr>
          </w:p>
        </w:tc>
      </w:tr>
      <w:tr w14:paraId="7E1DF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214CB466">
            <w:pPr>
              <w:jc w:val="left"/>
              <w:rPr>
                <w:rFonts w:hint="eastAsia" w:ascii="宋体" w:hAnsi="宋体" w:eastAsia="宋体" w:cs="宋体"/>
                <w:i w:val="0"/>
                <w:iCs w:val="0"/>
                <w:color w:val="000000"/>
                <w:sz w:val="18"/>
                <w:szCs w:val="18"/>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380E085B">
            <w:pPr>
              <w:jc w:val="left"/>
              <w:rPr>
                <w:rFonts w:hint="eastAsia" w:ascii="宋体" w:hAnsi="宋体" w:eastAsia="宋体" w:cs="宋体"/>
                <w:i w:val="0"/>
                <w:iCs w:val="0"/>
                <w:color w:val="000000"/>
                <w:sz w:val="18"/>
                <w:szCs w:val="18"/>
                <w:u w:val="none"/>
              </w:rPr>
            </w:pPr>
          </w:p>
        </w:tc>
        <w:tc>
          <w:tcPr>
            <w:tcW w:w="1881" w:type="pct"/>
            <w:tcBorders>
              <w:top w:val="single" w:color="000000" w:sz="4" w:space="0"/>
              <w:left w:val="single" w:color="000000" w:sz="4" w:space="0"/>
              <w:bottom w:val="single" w:color="000000" w:sz="4" w:space="0"/>
              <w:right w:val="single" w:color="000000" w:sz="4" w:space="0"/>
            </w:tcBorders>
            <w:shd w:val="clear"/>
            <w:noWrap/>
            <w:vAlign w:val="center"/>
          </w:tcPr>
          <w:p w14:paraId="29722D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绩效指标明确性</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47A3F3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明确</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5536D6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明确</w:t>
            </w:r>
          </w:p>
        </w:tc>
        <w:tc>
          <w:tcPr>
            <w:tcW w:w="136" w:type="pct"/>
            <w:tcBorders>
              <w:top w:val="single" w:color="000000" w:sz="4" w:space="0"/>
              <w:left w:val="single" w:color="000000" w:sz="4" w:space="0"/>
              <w:bottom w:val="single" w:color="000000" w:sz="4" w:space="0"/>
              <w:right w:val="single" w:color="000000" w:sz="4" w:space="0"/>
            </w:tcBorders>
            <w:shd w:val="clear"/>
            <w:noWrap/>
            <w:vAlign w:val="center"/>
          </w:tcPr>
          <w:p w14:paraId="323C465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2</w:t>
            </w: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10219EE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2</w:t>
            </w:r>
          </w:p>
        </w:tc>
        <w:tc>
          <w:tcPr>
            <w:tcW w:w="991" w:type="pct"/>
            <w:tcBorders>
              <w:top w:val="single" w:color="000000" w:sz="4" w:space="0"/>
              <w:left w:val="single" w:color="000000" w:sz="4" w:space="0"/>
              <w:bottom w:val="single" w:color="000000" w:sz="4" w:space="0"/>
              <w:right w:val="single" w:color="000000" w:sz="4" w:space="0"/>
            </w:tcBorders>
            <w:shd w:val="clear"/>
            <w:vAlign w:val="center"/>
          </w:tcPr>
          <w:p w14:paraId="3067A7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评价要点：</w:t>
            </w:r>
            <w:r>
              <w:rPr>
                <w:rFonts w:ascii="Segoe UI" w:hAnsi="Segoe UI" w:eastAsia="Segoe UI" w:cs="Segoe UI"/>
                <w:i w:val="0"/>
                <w:iCs w:val="0"/>
                <w:color w:val="000000"/>
                <w:kern w:val="0"/>
                <w:sz w:val="18"/>
                <w:szCs w:val="18"/>
                <w:u w:val="none"/>
                <w:bdr w:val="none" w:color="auto" w:sz="0" w:space="0"/>
                <w:lang w:val="en-US" w:eastAsia="zh-CN" w:bidi="ar"/>
              </w:rPr>
              <w:t xml:space="preserve"> </w:t>
            </w:r>
            <w:r>
              <w:rPr>
                <w:rStyle w:val="15"/>
                <w:bdr w:val="none" w:color="auto" w:sz="0" w:space="0"/>
                <w:lang w:val="en-US" w:eastAsia="zh-CN" w:bidi="ar"/>
              </w:rPr>
              <w:t>①是否将项目绩效目标细化分解为具体的绩效指标；</w:t>
            </w:r>
            <w:r>
              <w:rPr>
                <w:rFonts w:ascii="Segoe UI" w:hAnsi="Segoe UI" w:eastAsia="Segoe UI" w:cs="Segoe UI"/>
                <w:i w:val="0"/>
                <w:iCs w:val="0"/>
                <w:color w:val="000000"/>
                <w:kern w:val="0"/>
                <w:sz w:val="18"/>
                <w:szCs w:val="18"/>
                <w:u w:val="none"/>
                <w:bdr w:val="none" w:color="auto" w:sz="0" w:space="0"/>
                <w:lang w:val="en-US" w:eastAsia="zh-CN" w:bidi="ar"/>
              </w:rPr>
              <w:t xml:space="preserve"> </w:t>
            </w:r>
            <w:r>
              <w:rPr>
                <w:rStyle w:val="15"/>
                <w:bdr w:val="none" w:color="auto" w:sz="0" w:space="0"/>
                <w:lang w:val="en-US" w:eastAsia="zh-CN" w:bidi="ar"/>
              </w:rPr>
              <w:t>②是否通过清晰、可衡量的指标值予以体现；</w:t>
            </w:r>
            <w:r>
              <w:rPr>
                <w:rFonts w:ascii="Segoe UI" w:hAnsi="Segoe UI" w:eastAsia="Segoe UI" w:cs="Segoe UI"/>
                <w:i w:val="0"/>
                <w:iCs w:val="0"/>
                <w:color w:val="000000"/>
                <w:kern w:val="0"/>
                <w:sz w:val="18"/>
                <w:szCs w:val="18"/>
                <w:u w:val="none"/>
                <w:bdr w:val="none" w:color="auto" w:sz="0" w:space="0"/>
                <w:lang w:val="en-US" w:eastAsia="zh-CN" w:bidi="ar"/>
              </w:rPr>
              <w:t xml:space="preserve"> </w:t>
            </w:r>
            <w:r>
              <w:rPr>
                <w:rStyle w:val="15"/>
                <w:bdr w:val="none" w:color="auto" w:sz="0" w:space="0"/>
                <w:lang w:val="en-US" w:eastAsia="zh-CN" w:bidi="ar"/>
              </w:rPr>
              <w:t>③是否与项目目标任务数或计划数相对应。</w:t>
            </w:r>
            <w:r>
              <w:rPr>
                <w:rFonts w:ascii="Segoe UI" w:hAnsi="Segoe UI" w:eastAsia="Segoe UI" w:cs="Segoe UI"/>
                <w:i w:val="0"/>
                <w:iCs w:val="0"/>
                <w:color w:val="000000"/>
                <w:kern w:val="0"/>
                <w:sz w:val="18"/>
                <w:szCs w:val="18"/>
                <w:u w:val="none"/>
                <w:bdr w:val="none" w:color="auto" w:sz="0" w:space="0"/>
                <w:lang w:val="en-US" w:eastAsia="zh-CN" w:bidi="ar"/>
              </w:rPr>
              <w:t xml:space="preserve"> </w:t>
            </w:r>
            <w:r>
              <w:rPr>
                <w:rStyle w:val="15"/>
                <w:bdr w:val="none" w:color="auto" w:sz="0" w:space="0"/>
                <w:lang w:val="en-US" w:eastAsia="zh-CN" w:bidi="ar"/>
              </w:rPr>
              <w:t>评分规则：以上评价要点各占</w:t>
            </w:r>
            <w:r>
              <w:rPr>
                <w:rFonts w:ascii="Segoe UI" w:hAnsi="Segoe UI" w:eastAsia="Segoe UI" w:cs="Segoe UI"/>
                <w:i w:val="0"/>
                <w:iCs w:val="0"/>
                <w:color w:val="000000"/>
                <w:kern w:val="0"/>
                <w:sz w:val="18"/>
                <w:szCs w:val="18"/>
                <w:u w:val="none"/>
                <w:bdr w:val="none" w:color="auto" w:sz="0" w:space="0"/>
                <w:lang w:val="en-US" w:eastAsia="zh-CN" w:bidi="ar"/>
              </w:rPr>
              <w:t>1/3</w:t>
            </w:r>
            <w:r>
              <w:rPr>
                <w:rStyle w:val="15"/>
                <w:bdr w:val="none" w:color="auto" w:sz="0" w:space="0"/>
                <w:lang w:val="en-US" w:eastAsia="zh-CN" w:bidi="ar"/>
              </w:rPr>
              <w:t>权重，每个要点执行情况分达成、部分达成、未达成三档，按</w:t>
            </w:r>
            <w:r>
              <w:rPr>
                <w:rFonts w:ascii="Segoe UI" w:hAnsi="Segoe UI" w:eastAsia="Segoe UI" w:cs="Segoe UI"/>
                <w:i w:val="0"/>
                <w:iCs w:val="0"/>
                <w:color w:val="000000"/>
                <w:kern w:val="0"/>
                <w:sz w:val="18"/>
                <w:szCs w:val="18"/>
                <w:u w:val="none"/>
                <w:bdr w:val="none" w:color="auto" w:sz="0" w:space="0"/>
                <w:lang w:val="en-US" w:eastAsia="zh-CN" w:bidi="ar"/>
              </w:rPr>
              <w:t>100%-80%</w:t>
            </w:r>
            <w:r>
              <w:rPr>
                <w:rStyle w:val="15"/>
                <w:bdr w:val="none" w:color="auto" w:sz="0" w:space="0"/>
                <w:lang w:val="en-US" w:eastAsia="zh-CN" w:bidi="ar"/>
              </w:rPr>
              <w:t>（含）、</w:t>
            </w:r>
            <w:r>
              <w:rPr>
                <w:rFonts w:ascii="Segoe UI" w:hAnsi="Segoe UI" w:eastAsia="Segoe UI" w:cs="Segoe UI"/>
                <w:i w:val="0"/>
                <w:iCs w:val="0"/>
                <w:color w:val="000000"/>
                <w:kern w:val="0"/>
                <w:sz w:val="18"/>
                <w:szCs w:val="18"/>
                <w:u w:val="none"/>
                <w:bdr w:val="none" w:color="auto" w:sz="0" w:space="0"/>
                <w:lang w:val="en-US" w:eastAsia="zh-CN" w:bidi="ar"/>
              </w:rPr>
              <w:t>80%-60%</w:t>
            </w:r>
            <w:r>
              <w:rPr>
                <w:rStyle w:val="15"/>
                <w:bdr w:val="none" w:color="auto" w:sz="0" w:space="0"/>
                <w:lang w:val="en-US" w:eastAsia="zh-CN" w:bidi="ar"/>
              </w:rPr>
              <w:t>（含）、</w:t>
            </w:r>
            <w:r>
              <w:rPr>
                <w:rFonts w:ascii="Segoe UI" w:hAnsi="Segoe UI" w:eastAsia="Segoe UI" w:cs="Segoe UI"/>
                <w:i w:val="0"/>
                <w:iCs w:val="0"/>
                <w:color w:val="000000"/>
                <w:kern w:val="0"/>
                <w:sz w:val="18"/>
                <w:szCs w:val="18"/>
                <w:u w:val="none"/>
                <w:bdr w:val="none" w:color="auto" w:sz="0" w:space="0"/>
                <w:lang w:val="en-US" w:eastAsia="zh-CN" w:bidi="ar"/>
              </w:rPr>
              <w:t>60%-0%</w:t>
            </w:r>
            <w:r>
              <w:rPr>
                <w:rStyle w:val="15"/>
                <w:bdr w:val="none" w:color="auto" w:sz="0" w:space="0"/>
                <w:lang w:val="en-US" w:eastAsia="zh-CN" w:bidi="ar"/>
              </w:rPr>
              <w:t>评分。</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47954974">
            <w:pPr>
              <w:jc w:val="left"/>
              <w:rPr>
                <w:rFonts w:hint="default" w:ascii="Segoe UI" w:hAnsi="Segoe UI" w:eastAsia="Segoe UI" w:cs="Segoe UI"/>
                <w:i w:val="0"/>
                <w:iCs w:val="0"/>
                <w:color w:val="000000"/>
                <w:sz w:val="18"/>
                <w:szCs w:val="18"/>
                <w:u w:val="none"/>
              </w:rPr>
            </w:pPr>
          </w:p>
        </w:tc>
      </w:tr>
      <w:tr w14:paraId="58FB3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3609FEFE">
            <w:pPr>
              <w:jc w:val="left"/>
              <w:rPr>
                <w:rFonts w:hint="eastAsia" w:ascii="宋体" w:hAnsi="宋体" w:eastAsia="宋体" w:cs="宋体"/>
                <w:i w:val="0"/>
                <w:iCs w:val="0"/>
                <w:color w:val="000000"/>
                <w:sz w:val="18"/>
                <w:szCs w:val="18"/>
                <w:u w:val="none"/>
              </w:rPr>
            </w:pPr>
          </w:p>
        </w:tc>
        <w:tc>
          <w:tcPr>
            <w:tcW w:w="349"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5C6D6D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资金投入</w:t>
            </w:r>
            <w:r>
              <w:rPr>
                <w:rFonts w:ascii="Segoe UI" w:hAnsi="Segoe UI" w:eastAsia="Segoe UI" w:cs="Segoe UI"/>
                <w:i w:val="0"/>
                <w:iCs w:val="0"/>
                <w:color w:val="000000"/>
                <w:kern w:val="0"/>
                <w:sz w:val="18"/>
                <w:szCs w:val="18"/>
                <w:u w:val="none"/>
                <w:bdr w:val="none" w:color="auto" w:sz="0" w:space="0"/>
                <w:lang w:val="en-US" w:eastAsia="zh-CN" w:bidi="ar"/>
              </w:rPr>
              <w:t>(4)</w:t>
            </w:r>
          </w:p>
        </w:tc>
        <w:tc>
          <w:tcPr>
            <w:tcW w:w="1881" w:type="pct"/>
            <w:tcBorders>
              <w:top w:val="single" w:color="000000" w:sz="4" w:space="0"/>
              <w:left w:val="single" w:color="000000" w:sz="4" w:space="0"/>
              <w:bottom w:val="single" w:color="000000" w:sz="4" w:space="0"/>
              <w:right w:val="single" w:color="000000" w:sz="4" w:space="0"/>
            </w:tcBorders>
            <w:shd w:val="clear"/>
            <w:noWrap/>
            <w:vAlign w:val="center"/>
          </w:tcPr>
          <w:p w14:paraId="7435E1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预算编制科学性</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34CE92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科学</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6B6CE0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科学</w:t>
            </w:r>
          </w:p>
        </w:tc>
        <w:tc>
          <w:tcPr>
            <w:tcW w:w="136" w:type="pct"/>
            <w:tcBorders>
              <w:top w:val="single" w:color="000000" w:sz="4" w:space="0"/>
              <w:left w:val="single" w:color="000000" w:sz="4" w:space="0"/>
              <w:bottom w:val="single" w:color="000000" w:sz="4" w:space="0"/>
              <w:right w:val="single" w:color="000000" w:sz="4" w:space="0"/>
            </w:tcBorders>
            <w:shd w:val="clear"/>
            <w:noWrap/>
            <w:vAlign w:val="center"/>
          </w:tcPr>
          <w:p w14:paraId="4C78DAE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2</w:t>
            </w: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127EF76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2</w:t>
            </w:r>
          </w:p>
        </w:tc>
        <w:tc>
          <w:tcPr>
            <w:tcW w:w="991" w:type="pct"/>
            <w:tcBorders>
              <w:top w:val="single" w:color="000000" w:sz="4" w:space="0"/>
              <w:left w:val="single" w:color="000000" w:sz="4" w:space="0"/>
              <w:bottom w:val="single" w:color="000000" w:sz="4" w:space="0"/>
              <w:right w:val="single" w:color="000000" w:sz="4" w:space="0"/>
            </w:tcBorders>
            <w:shd w:val="clear"/>
            <w:vAlign w:val="center"/>
          </w:tcPr>
          <w:p w14:paraId="570943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评价要点：</w:t>
            </w:r>
            <w:r>
              <w:rPr>
                <w:rFonts w:ascii="Segoe UI" w:hAnsi="Segoe UI" w:eastAsia="Segoe UI" w:cs="Segoe UI"/>
                <w:i w:val="0"/>
                <w:iCs w:val="0"/>
                <w:color w:val="000000"/>
                <w:kern w:val="0"/>
                <w:sz w:val="18"/>
                <w:szCs w:val="18"/>
                <w:u w:val="none"/>
                <w:bdr w:val="none" w:color="auto" w:sz="0" w:space="0"/>
                <w:lang w:val="en-US" w:eastAsia="zh-CN" w:bidi="ar"/>
              </w:rPr>
              <w:t xml:space="preserve"> </w:t>
            </w:r>
            <w:r>
              <w:rPr>
                <w:rStyle w:val="15"/>
                <w:bdr w:val="none" w:color="auto" w:sz="0" w:space="0"/>
                <w:lang w:val="en-US" w:eastAsia="zh-CN" w:bidi="ar"/>
              </w:rPr>
              <w:t>①预算编制是否经过科学论证；</w:t>
            </w:r>
            <w:r>
              <w:rPr>
                <w:rFonts w:ascii="Segoe UI" w:hAnsi="Segoe UI" w:eastAsia="Segoe UI" w:cs="Segoe UI"/>
                <w:i w:val="0"/>
                <w:iCs w:val="0"/>
                <w:color w:val="000000"/>
                <w:kern w:val="0"/>
                <w:sz w:val="18"/>
                <w:szCs w:val="18"/>
                <w:u w:val="none"/>
                <w:bdr w:val="none" w:color="auto" w:sz="0" w:space="0"/>
                <w:lang w:val="en-US" w:eastAsia="zh-CN" w:bidi="ar"/>
              </w:rPr>
              <w:t xml:space="preserve"> </w:t>
            </w:r>
            <w:r>
              <w:rPr>
                <w:rStyle w:val="15"/>
                <w:bdr w:val="none" w:color="auto" w:sz="0" w:space="0"/>
                <w:lang w:val="en-US" w:eastAsia="zh-CN" w:bidi="ar"/>
              </w:rPr>
              <w:t>②预算内容与项目内容是否匹配；</w:t>
            </w:r>
            <w:r>
              <w:rPr>
                <w:rFonts w:ascii="Segoe UI" w:hAnsi="Segoe UI" w:eastAsia="Segoe UI" w:cs="Segoe UI"/>
                <w:i w:val="0"/>
                <w:iCs w:val="0"/>
                <w:color w:val="000000"/>
                <w:kern w:val="0"/>
                <w:sz w:val="18"/>
                <w:szCs w:val="18"/>
                <w:u w:val="none"/>
                <w:bdr w:val="none" w:color="auto" w:sz="0" w:space="0"/>
                <w:lang w:val="en-US" w:eastAsia="zh-CN" w:bidi="ar"/>
              </w:rPr>
              <w:t xml:space="preserve"> </w:t>
            </w:r>
            <w:r>
              <w:rPr>
                <w:rStyle w:val="15"/>
                <w:bdr w:val="none" w:color="auto" w:sz="0" w:space="0"/>
                <w:lang w:val="en-US" w:eastAsia="zh-CN" w:bidi="ar"/>
              </w:rPr>
              <w:t>③预算额度测算依据是否充分，是否按照标准编制；</w:t>
            </w:r>
            <w:r>
              <w:rPr>
                <w:rFonts w:ascii="Segoe UI" w:hAnsi="Segoe UI" w:eastAsia="Segoe UI" w:cs="Segoe UI"/>
                <w:i w:val="0"/>
                <w:iCs w:val="0"/>
                <w:color w:val="000000"/>
                <w:kern w:val="0"/>
                <w:sz w:val="18"/>
                <w:szCs w:val="18"/>
                <w:u w:val="none"/>
                <w:bdr w:val="none" w:color="auto" w:sz="0" w:space="0"/>
                <w:lang w:val="en-US" w:eastAsia="zh-CN" w:bidi="ar"/>
              </w:rPr>
              <w:t xml:space="preserve"> </w:t>
            </w:r>
            <w:r>
              <w:rPr>
                <w:rStyle w:val="15"/>
                <w:bdr w:val="none" w:color="auto" w:sz="0" w:space="0"/>
                <w:lang w:val="en-US" w:eastAsia="zh-CN" w:bidi="ar"/>
              </w:rPr>
              <w:t>④预算确定的项目投资额或资金量是否与工作任务相匹配。</w:t>
            </w:r>
            <w:r>
              <w:rPr>
                <w:rFonts w:ascii="Segoe UI" w:hAnsi="Segoe UI" w:eastAsia="Segoe UI" w:cs="Segoe UI"/>
                <w:i w:val="0"/>
                <w:iCs w:val="0"/>
                <w:color w:val="000000"/>
                <w:kern w:val="0"/>
                <w:sz w:val="18"/>
                <w:szCs w:val="18"/>
                <w:u w:val="none"/>
                <w:bdr w:val="none" w:color="auto" w:sz="0" w:space="0"/>
                <w:lang w:val="en-US" w:eastAsia="zh-CN" w:bidi="ar"/>
              </w:rPr>
              <w:t xml:space="preserve"> </w:t>
            </w:r>
            <w:r>
              <w:rPr>
                <w:rStyle w:val="15"/>
                <w:bdr w:val="none" w:color="auto" w:sz="0" w:space="0"/>
                <w:lang w:val="en-US" w:eastAsia="zh-CN" w:bidi="ar"/>
              </w:rPr>
              <w:t>评分规则：以上评价要点各占</w:t>
            </w:r>
            <w:r>
              <w:rPr>
                <w:rFonts w:ascii="Segoe UI" w:hAnsi="Segoe UI" w:eastAsia="Segoe UI" w:cs="Segoe UI"/>
                <w:i w:val="0"/>
                <w:iCs w:val="0"/>
                <w:color w:val="000000"/>
                <w:kern w:val="0"/>
                <w:sz w:val="18"/>
                <w:szCs w:val="18"/>
                <w:u w:val="none"/>
                <w:bdr w:val="none" w:color="auto" w:sz="0" w:space="0"/>
                <w:lang w:val="en-US" w:eastAsia="zh-CN" w:bidi="ar"/>
              </w:rPr>
              <w:t>25%</w:t>
            </w:r>
            <w:r>
              <w:rPr>
                <w:rStyle w:val="15"/>
                <w:bdr w:val="none" w:color="auto" w:sz="0" w:space="0"/>
                <w:lang w:val="en-US" w:eastAsia="zh-CN" w:bidi="ar"/>
              </w:rPr>
              <w:t>权重，每个要点执行情况分达成、部分达成、未达成三档，按</w:t>
            </w:r>
            <w:r>
              <w:rPr>
                <w:rFonts w:ascii="Segoe UI" w:hAnsi="Segoe UI" w:eastAsia="Segoe UI" w:cs="Segoe UI"/>
                <w:i w:val="0"/>
                <w:iCs w:val="0"/>
                <w:color w:val="000000"/>
                <w:kern w:val="0"/>
                <w:sz w:val="18"/>
                <w:szCs w:val="18"/>
                <w:u w:val="none"/>
                <w:bdr w:val="none" w:color="auto" w:sz="0" w:space="0"/>
                <w:lang w:val="en-US" w:eastAsia="zh-CN" w:bidi="ar"/>
              </w:rPr>
              <w:t>100%-80%</w:t>
            </w:r>
            <w:r>
              <w:rPr>
                <w:rStyle w:val="15"/>
                <w:bdr w:val="none" w:color="auto" w:sz="0" w:space="0"/>
                <w:lang w:val="en-US" w:eastAsia="zh-CN" w:bidi="ar"/>
              </w:rPr>
              <w:t>（含）、</w:t>
            </w:r>
            <w:r>
              <w:rPr>
                <w:rFonts w:ascii="Segoe UI" w:hAnsi="Segoe UI" w:eastAsia="Segoe UI" w:cs="Segoe UI"/>
                <w:i w:val="0"/>
                <w:iCs w:val="0"/>
                <w:color w:val="000000"/>
                <w:kern w:val="0"/>
                <w:sz w:val="18"/>
                <w:szCs w:val="18"/>
                <w:u w:val="none"/>
                <w:bdr w:val="none" w:color="auto" w:sz="0" w:space="0"/>
                <w:lang w:val="en-US" w:eastAsia="zh-CN" w:bidi="ar"/>
              </w:rPr>
              <w:t>80%-60%</w:t>
            </w:r>
            <w:r>
              <w:rPr>
                <w:rStyle w:val="15"/>
                <w:bdr w:val="none" w:color="auto" w:sz="0" w:space="0"/>
                <w:lang w:val="en-US" w:eastAsia="zh-CN" w:bidi="ar"/>
              </w:rPr>
              <w:t>（含）、</w:t>
            </w:r>
            <w:r>
              <w:rPr>
                <w:rFonts w:ascii="Segoe UI" w:hAnsi="Segoe UI" w:eastAsia="Segoe UI" w:cs="Segoe UI"/>
                <w:i w:val="0"/>
                <w:iCs w:val="0"/>
                <w:color w:val="000000"/>
                <w:kern w:val="0"/>
                <w:sz w:val="18"/>
                <w:szCs w:val="18"/>
                <w:u w:val="none"/>
                <w:bdr w:val="none" w:color="auto" w:sz="0" w:space="0"/>
                <w:lang w:val="en-US" w:eastAsia="zh-CN" w:bidi="ar"/>
              </w:rPr>
              <w:t>60%-0%</w:t>
            </w:r>
            <w:r>
              <w:rPr>
                <w:rStyle w:val="15"/>
                <w:bdr w:val="none" w:color="auto" w:sz="0" w:space="0"/>
                <w:lang w:val="en-US" w:eastAsia="zh-CN" w:bidi="ar"/>
              </w:rPr>
              <w:t>评分。</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1D84408A">
            <w:pPr>
              <w:jc w:val="left"/>
              <w:rPr>
                <w:rFonts w:hint="default" w:ascii="Segoe UI" w:hAnsi="Segoe UI" w:eastAsia="Segoe UI" w:cs="Segoe UI"/>
                <w:i w:val="0"/>
                <w:iCs w:val="0"/>
                <w:color w:val="000000"/>
                <w:sz w:val="18"/>
                <w:szCs w:val="18"/>
                <w:u w:val="none"/>
              </w:rPr>
            </w:pPr>
          </w:p>
        </w:tc>
      </w:tr>
      <w:tr w14:paraId="0288A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415473BB">
            <w:pPr>
              <w:jc w:val="left"/>
              <w:rPr>
                <w:rFonts w:hint="eastAsia" w:ascii="宋体" w:hAnsi="宋体" w:eastAsia="宋体" w:cs="宋体"/>
                <w:i w:val="0"/>
                <w:iCs w:val="0"/>
                <w:color w:val="000000"/>
                <w:sz w:val="18"/>
                <w:szCs w:val="18"/>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112A3875">
            <w:pPr>
              <w:jc w:val="left"/>
              <w:rPr>
                <w:rFonts w:hint="eastAsia" w:ascii="宋体" w:hAnsi="宋体" w:eastAsia="宋体" w:cs="宋体"/>
                <w:i w:val="0"/>
                <w:iCs w:val="0"/>
                <w:color w:val="000000"/>
                <w:sz w:val="18"/>
                <w:szCs w:val="18"/>
                <w:u w:val="none"/>
              </w:rPr>
            </w:pPr>
          </w:p>
        </w:tc>
        <w:tc>
          <w:tcPr>
            <w:tcW w:w="1881" w:type="pct"/>
            <w:tcBorders>
              <w:top w:val="single" w:color="000000" w:sz="4" w:space="0"/>
              <w:left w:val="single" w:color="000000" w:sz="4" w:space="0"/>
              <w:bottom w:val="single" w:color="000000" w:sz="4" w:space="0"/>
              <w:right w:val="single" w:color="000000" w:sz="4" w:space="0"/>
            </w:tcBorders>
            <w:shd w:val="clear"/>
            <w:noWrap/>
            <w:vAlign w:val="center"/>
          </w:tcPr>
          <w:p w14:paraId="539540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资金分配合理性</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0B2B60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合理</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771B8E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合理</w:t>
            </w:r>
          </w:p>
        </w:tc>
        <w:tc>
          <w:tcPr>
            <w:tcW w:w="136" w:type="pct"/>
            <w:tcBorders>
              <w:top w:val="single" w:color="000000" w:sz="4" w:space="0"/>
              <w:left w:val="single" w:color="000000" w:sz="4" w:space="0"/>
              <w:bottom w:val="single" w:color="000000" w:sz="4" w:space="0"/>
              <w:right w:val="single" w:color="000000" w:sz="4" w:space="0"/>
            </w:tcBorders>
            <w:shd w:val="clear"/>
            <w:noWrap/>
            <w:vAlign w:val="center"/>
          </w:tcPr>
          <w:p w14:paraId="636E14A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2</w:t>
            </w: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3A9B778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2</w:t>
            </w:r>
          </w:p>
        </w:tc>
        <w:tc>
          <w:tcPr>
            <w:tcW w:w="991" w:type="pct"/>
            <w:tcBorders>
              <w:top w:val="single" w:color="000000" w:sz="4" w:space="0"/>
              <w:left w:val="single" w:color="000000" w:sz="4" w:space="0"/>
              <w:bottom w:val="single" w:color="000000" w:sz="4" w:space="0"/>
              <w:right w:val="single" w:color="000000" w:sz="4" w:space="0"/>
            </w:tcBorders>
            <w:shd w:val="clear"/>
            <w:vAlign w:val="center"/>
          </w:tcPr>
          <w:p w14:paraId="5FBC05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评价要点：</w:t>
            </w:r>
            <w:r>
              <w:rPr>
                <w:rFonts w:ascii="Segoe UI" w:hAnsi="Segoe UI" w:eastAsia="Segoe UI" w:cs="Segoe UI"/>
                <w:i w:val="0"/>
                <w:iCs w:val="0"/>
                <w:color w:val="000000"/>
                <w:kern w:val="0"/>
                <w:sz w:val="18"/>
                <w:szCs w:val="18"/>
                <w:u w:val="none"/>
                <w:bdr w:val="none" w:color="auto" w:sz="0" w:space="0"/>
                <w:lang w:val="en-US" w:eastAsia="zh-CN" w:bidi="ar"/>
              </w:rPr>
              <w:t xml:space="preserve"> </w:t>
            </w:r>
            <w:r>
              <w:rPr>
                <w:rStyle w:val="15"/>
                <w:bdr w:val="none" w:color="auto" w:sz="0" w:space="0"/>
                <w:lang w:val="en-US" w:eastAsia="zh-CN" w:bidi="ar"/>
              </w:rPr>
              <w:t>①预算资金分配依据是否充分；</w:t>
            </w:r>
            <w:r>
              <w:rPr>
                <w:rFonts w:ascii="Segoe UI" w:hAnsi="Segoe UI" w:eastAsia="Segoe UI" w:cs="Segoe UI"/>
                <w:i w:val="0"/>
                <w:iCs w:val="0"/>
                <w:color w:val="000000"/>
                <w:kern w:val="0"/>
                <w:sz w:val="18"/>
                <w:szCs w:val="18"/>
                <w:u w:val="none"/>
                <w:bdr w:val="none" w:color="auto" w:sz="0" w:space="0"/>
                <w:lang w:val="en-US" w:eastAsia="zh-CN" w:bidi="ar"/>
              </w:rPr>
              <w:t xml:space="preserve"> </w:t>
            </w:r>
            <w:r>
              <w:rPr>
                <w:rStyle w:val="15"/>
                <w:bdr w:val="none" w:color="auto" w:sz="0" w:space="0"/>
                <w:lang w:val="en-US" w:eastAsia="zh-CN" w:bidi="ar"/>
              </w:rPr>
              <w:t>②资金分配额度是否合理，与项目单位或地方实际是否相适应。</w:t>
            </w:r>
            <w:r>
              <w:rPr>
                <w:rFonts w:ascii="Segoe UI" w:hAnsi="Segoe UI" w:eastAsia="Segoe UI" w:cs="Segoe UI"/>
                <w:i w:val="0"/>
                <w:iCs w:val="0"/>
                <w:color w:val="000000"/>
                <w:kern w:val="0"/>
                <w:sz w:val="18"/>
                <w:szCs w:val="18"/>
                <w:u w:val="none"/>
                <w:bdr w:val="none" w:color="auto" w:sz="0" w:space="0"/>
                <w:lang w:val="en-US" w:eastAsia="zh-CN" w:bidi="ar"/>
              </w:rPr>
              <w:t xml:space="preserve"> </w:t>
            </w:r>
            <w:r>
              <w:rPr>
                <w:rStyle w:val="15"/>
                <w:bdr w:val="none" w:color="auto" w:sz="0" w:space="0"/>
                <w:lang w:val="en-US" w:eastAsia="zh-CN" w:bidi="ar"/>
              </w:rPr>
              <w:t>评分规则：以上评价要点各占</w:t>
            </w:r>
            <w:r>
              <w:rPr>
                <w:rFonts w:ascii="Segoe UI" w:hAnsi="Segoe UI" w:eastAsia="Segoe UI" w:cs="Segoe UI"/>
                <w:i w:val="0"/>
                <w:iCs w:val="0"/>
                <w:color w:val="000000"/>
                <w:kern w:val="0"/>
                <w:sz w:val="18"/>
                <w:szCs w:val="18"/>
                <w:u w:val="none"/>
                <w:bdr w:val="none" w:color="auto" w:sz="0" w:space="0"/>
                <w:lang w:val="en-US" w:eastAsia="zh-CN" w:bidi="ar"/>
              </w:rPr>
              <w:t>50%</w:t>
            </w:r>
            <w:r>
              <w:rPr>
                <w:rStyle w:val="15"/>
                <w:bdr w:val="none" w:color="auto" w:sz="0" w:space="0"/>
                <w:lang w:val="en-US" w:eastAsia="zh-CN" w:bidi="ar"/>
              </w:rPr>
              <w:t>权重，每个要点执行情况分达成、部分达成、未达成三档，按</w:t>
            </w:r>
            <w:r>
              <w:rPr>
                <w:rFonts w:ascii="Segoe UI" w:hAnsi="Segoe UI" w:eastAsia="Segoe UI" w:cs="Segoe UI"/>
                <w:i w:val="0"/>
                <w:iCs w:val="0"/>
                <w:color w:val="000000"/>
                <w:kern w:val="0"/>
                <w:sz w:val="18"/>
                <w:szCs w:val="18"/>
                <w:u w:val="none"/>
                <w:bdr w:val="none" w:color="auto" w:sz="0" w:space="0"/>
                <w:lang w:val="en-US" w:eastAsia="zh-CN" w:bidi="ar"/>
              </w:rPr>
              <w:t>100%-80%</w:t>
            </w:r>
            <w:r>
              <w:rPr>
                <w:rStyle w:val="15"/>
                <w:bdr w:val="none" w:color="auto" w:sz="0" w:space="0"/>
                <w:lang w:val="en-US" w:eastAsia="zh-CN" w:bidi="ar"/>
              </w:rPr>
              <w:t>（含）、</w:t>
            </w:r>
            <w:r>
              <w:rPr>
                <w:rFonts w:ascii="Segoe UI" w:hAnsi="Segoe UI" w:eastAsia="Segoe UI" w:cs="Segoe UI"/>
                <w:i w:val="0"/>
                <w:iCs w:val="0"/>
                <w:color w:val="000000"/>
                <w:kern w:val="0"/>
                <w:sz w:val="18"/>
                <w:szCs w:val="18"/>
                <w:u w:val="none"/>
                <w:bdr w:val="none" w:color="auto" w:sz="0" w:space="0"/>
                <w:lang w:val="en-US" w:eastAsia="zh-CN" w:bidi="ar"/>
              </w:rPr>
              <w:t>80%-60%</w:t>
            </w:r>
            <w:r>
              <w:rPr>
                <w:rStyle w:val="15"/>
                <w:bdr w:val="none" w:color="auto" w:sz="0" w:space="0"/>
                <w:lang w:val="en-US" w:eastAsia="zh-CN" w:bidi="ar"/>
              </w:rPr>
              <w:t>（含）、</w:t>
            </w:r>
            <w:r>
              <w:rPr>
                <w:rFonts w:ascii="Segoe UI" w:hAnsi="Segoe UI" w:eastAsia="Segoe UI" w:cs="Segoe UI"/>
                <w:i w:val="0"/>
                <w:iCs w:val="0"/>
                <w:color w:val="000000"/>
                <w:kern w:val="0"/>
                <w:sz w:val="18"/>
                <w:szCs w:val="18"/>
                <w:u w:val="none"/>
                <w:bdr w:val="none" w:color="auto" w:sz="0" w:space="0"/>
                <w:lang w:val="en-US" w:eastAsia="zh-CN" w:bidi="ar"/>
              </w:rPr>
              <w:t>60%-0%</w:t>
            </w:r>
            <w:r>
              <w:rPr>
                <w:rStyle w:val="15"/>
                <w:bdr w:val="none" w:color="auto" w:sz="0" w:space="0"/>
                <w:lang w:val="en-US" w:eastAsia="zh-CN" w:bidi="ar"/>
              </w:rPr>
              <w:t>评分。</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0ADC3FCA">
            <w:pPr>
              <w:jc w:val="left"/>
              <w:rPr>
                <w:rFonts w:hint="default" w:ascii="Segoe UI" w:hAnsi="Segoe UI" w:eastAsia="Segoe UI" w:cs="Segoe UI"/>
                <w:i w:val="0"/>
                <w:iCs w:val="0"/>
                <w:color w:val="000000"/>
                <w:sz w:val="18"/>
                <w:szCs w:val="18"/>
                <w:u w:val="none"/>
              </w:rPr>
            </w:pPr>
          </w:p>
        </w:tc>
      </w:tr>
      <w:tr w14:paraId="09AE5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35"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14EA2C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过程</w:t>
            </w:r>
            <w:r>
              <w:rPr>
                <w:rFonts w:ascii="Segoe UI" w:hAnsi="Segoe UI" w:eastAsia="Segoe UI" w:cs="Segoe UI"/>
                <w:i w:val="0"/>
                <w:iCs w:val="0"/>
                <w:color w:val="000000"/>
                <w:kern w:val="0"/>
                <w:sz w:val="18"/>
                <w:szCs w:val="18"/>
                <w:u w:val="none"/>
                <w:bdr w:val="none" w:color="auto" w:sz="0" w:space="0"/>
                <w:lang w:val="en-US" w:eastAsia="zh-CN" w:bidi="ar"/>
              </w:rPr>
              <w:t>(18)</w:t>
            </w:r>
          </w:p>
        </w:tc>
        <w:tc>
          <w:tcPr>
            <w:tcW w:w="349"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3D30A1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资金管理</w:t>
            </w:r>
            <w:r>
              <w:rPr>
                <w:rFonts w:ascii="Segoe UI" w:hAnsi="Segoe UI" w:eastAsia="Segoe UI" w:cs="Segoe UI"/>
                <w:i w:val="0"/>
                <w:iCs w:val="0"/>
                <w:color w:val="000000"/>
                <w:kern w:val="0"/>
                <w:sz w:val="18"/>
                <w:szCs w:val="18"/>
                <w:u w:val="none"/>
                <w:bdr w:val="none" w:color="auto" w:sz="0" w:space="0"/>
                <w:lang w:val="en-US" w:eastAsia="zh-CN" w:bidi="ar"/>
              </w:rPr>
              <w:t>(10)</w:t>
            </w:r>
          </w:p>
        </w:tc>
        <w:tc>
          <w:tcPr>
            <w:tcW w:w="1881" w:type="pct"/>
            <w:tcBorders>
              <w:top w:val="single" w:color="000000" w:sz="4" w:space="0"/>
              <w:left w:val="single" w:color="000000" w:sz="4" w:space="0"/>
              <w:bottom w:val="single" w:color="000000" w:sz="4" w:space="0"/>
              <w:right w:val="single" w:color="000000" w:sz="4" w:space="0"/>
            </w:tcBorders>
            <w:shd w:val="clear"/>
            <w:noWrap/>
            <w:vAlign w:val="center"/>
          </w:tcPr>
          <w:p w14:paraId="25CAD3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预算执行率</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6BEEEF3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100%</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4854D31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eastAsia" w:ascii="Segoe UI" w:hAnsi="Segoe UI" w:eastAsia="Segoe UI" w:cs="Segoe UI"/>
                <w:i w:val="0"/>
                <w:iCs w:val="0"/>
                <w:color w:val="000000"/>
                <w:kern w:val="0"/>
                <w:sz w:val="18"/>
                <w:szCs w:val="18"/>
                <w:u w:val="none"/>
                <w:bdr w:val="none" w:color="auto" w:sz="0" w:space="0"/>
                <w:lang w:val="en-US" w:eastAsia="zh-CN" w:bidi="ar"/>
              </w:rPr>
              <w:t>100</w:t>
            </w:r>
            <w:r>
              <w:rPr>
                <w:rFonts w:hint="default" w:ascii="Segoe UI" w:hAnsi="Segoe UI" w:eastAsia="Segoe UI" w:cs="Segoe UI"/>
                <w:i w:val="0"/>
                <w:iCs w:val="0"/>
                <w:color w:val="000000"/>
                <w:kern w:val="0"/>
                <w:sz w:val="18"/>
                <w:szCs w:val="18"/>
                <w:u w:val="none"/>
                <w:bdr w:val="none" w:color="auto" w:sz="0" w:space="0"/>
                <w:lang w:val="en-US" w:eastAsia="zh-CN" w:bidi="ar"/>
              </w:rPr>
              <w:t>%</w:t>
            </w:r>
          </w:p>
        </w:tc>
        <w:tc>
          <w:tcPr>
            <w:tcW w:w="136" w:type="pct"/>
            <w:tcBorders>
              <w:top w:val="single" w:color="000000" w:sz="4" w:space="0"/>
              <w:left w:val="single" w:color="000000" w:sz="4" w:space="0"/>
              <w:bottom w:val="single" w:color="000000" w:sz="4" w:space="0"/>
              <w:right w:val="single" w:color="000000" w:sz="4" w:space="0"/>
            </w:tcBorders>
            <w:shd w:val="clear"/>
            <w:noWrap/>
            <w:vAlign w:val="center"/>
          </w:tcPr>
          <w:p w14:paraId="42A3513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3</w:t>
            </w: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64B6710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eastAsia" w:ascii="Segoe UI" w:hAnsi="Segoe UI" w:eastAsia="Segoe UI" w:cs="Segoe UI"/>
                <w:i w:val="0"/>
                <w:iCs w:val="0"/>
                <w:color w:val="000000"/>
                <w:kern w:val="0"/>
                <w:sz w:val="18"/>
                <w:szCs w:val="18"/>
                <w:u w:val="none"/>
                <w:bdr w:val="none" w:color="auto" w:sz="0" w:space="0"/>
                <w:lang w:val="en-US" w:eastAsia="zh-CN" w:bidi="ar"/>
              </w:rPr>
              <w:t>3</w:t>
            </w:r>
          </w:p>
        </w:tc>
        <w:tc>
          <w:tcPr>
            <w:tcW w:w="991" w:type="pct"/>
            <w:tcBorders>
              <w:top w:val="single" w:color="000000" w:sz="4" w:space="0"/>
              <w:left w:val="single" w:color="000000" w:sz="4" w:space="0"/>
              <w:bottom w:val="single" w:color="000000" w:sz="4" w:space="0"/>
              <w:right w:val="single" w:color="000000" w:sz="4" w:space="0"/>
            </w:tcBorders>
            <w:shd w:val="clear"/>
            <w:vAlign w:val="center"/>
          </w:tcPr>
          <w:p w14:paraId="41A7A0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预算执行率</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（实际支出资金</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实际到位资金）</w:t>
            </w:r>
            <w:r>
              <w:rPr>
                <w:rFonts w:ascii="Segoe UI" w:hAnsi="Segoe UI" w:eastAsia="Segoe UI" w:cs="Segoe UI"/>
                <w:i w:val="0"/>
                <w:iCs w:val="0"/>
                <w:color w:val="000000"/>
                <w:kern w:val="0"/>
                <w:sz w:val="18"/>
                <w:szCs w:val="18"/>
                <w:u w:val="none"/>
                <w:bdr w:val="none" w:color="auto" w:sz="0" w:space="0"/>
                <w:lang w:val="en-US" w:eastAsia="zh-CN" w:bidi="ar"/>
              </w:rPr>
              <w:t>×100%</w:t>
            </w:r>
            <w:r>
              <w:rPr>
                <w:rStyle w:val="15"/>
                <w:bdr w:val="none" w:color="auto" w:sz="0" w:space="0"/>
                <w:lang w:val="en-US" w:eastAsia="zh-CN" w:bidi="ar"/>
              </w:rPr>
              <w:t>。</w:t>
            </w:r>
            <w:r>
              <w:rPr>
                <w:rFonts w:ascii="Segoe UI" w:hAnsi="Segoe UI" w:eastAsia="Segoe UI" w:cs="Segoe UI"/>
                <w:i w:val="0"/>
                <w:iCs w:val="0"/>
                <w:color w:val="000000"/>
                <w:kern w:val="0"/>
                <w:sz w:val="18"/>
                <w:szCs w:val="18"/>
                <w:u w:val="none"/>
                <w:bdr w:val="none" w:color="auto" w:sz="0" w:space="0"/>
                <w:lang w:val="en-US" w:eastAsia="zh-CN" w:bidi="ar"/>
              </w:rPr>
              <w:t xml:space="preserve"> </w:t>
            </w:r>
            <w:r>
              <w:rPr>
                <w:rStyle w:val="15"/>
                <w:bdr w:val="none" w:color="auto" w:sz="0" w:space="0"/>
                <w:lang w:val="en-US" w:eastAsia="zh-CN" w:bidi="ar"/>
              </w:rPr>
              <w:t>实际支出资金：一定时期（本年度或项目期）内项目实际拨付的资金。</w:t>
            </w:r>
            <w:r>
              <w:rPr>
                <w:rFonts w:ascii="Segoe UI" w:hAnsi="Segoe UI" w:eastAsia="Segoe UI" w:cs="Segoe UI"/>
                <w:i w:val="0"/>
                <w:iCs w:val="0"/>
                <w:color w:val="000000"/>
                <w:kern w:val="0"/>
                <w:sz w:val="18"/>
                <w:szCs w:val="18"/>
                <w:u w:val="none"/>
                <w:bdr w:val="none" w:color="auto" w:sz="0" w:space="0"/>
                <w:lang w:val="en-US" w:eastAsia="zh-CN" w:bidi="ar"/>
              </w:rPr>
              <w:t xml:space="preserve"> </w:t>
            </w:r>
            <w:r>
              <w:rPr>
                <w:rStyle w:val="15"/>
                <w:bdr w:val="none" w:color="auto" w:sz="0" w:space="0"/>
                <w:lang w:val="en-US" w:eastAsia="zh-CN" w:bidi="ar"/>
              </w:rPr>
              <w:t>评分规则：得分</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资金到位率</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分值。</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3EADE443">
            <w:pPr>
              <w:jc w:val="left"/>
              <w:rPr>
                <w:rFonts w:hint="default" w:ascii="Segoe UI" w:hAnsi="Segoe UI" w:eastAsia="Segoe UI" w:cs="Segoe UI"/>
                <w:i w:val="0"/>
                <w:iCs w:val="0"/>
                <w:color w:val="000000"/>
                <w:sz w:val="18"/>
                <w:szCs w:val="18"/>
                <w:u w:val="none"/>
              </w:rPr>
            </w:pPr>
          </w:p>
        </w:tc>
      </w:tr>
      <w:tr w14:paraId="3A806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350DB4DB">
            <w:pPr>
              <w:jc w:val="left"/>
              <w:rPr>
                <w:rFonts w:hint="eastAsia" w:ascii="宋体" w:hAnsi="宋体" w:eastAsia="宋体" w:cs="宋体"/>
                <w:i w:val="0"/>
                <w:iCs w:val="0"/>
                <w:color w:val="000000"/>
                <w:sz w:val="18"/>
                <w:szCs w:val="18"/>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2F86A135">
            <w:pPr>
              <w:jc w:val="left"/>
              <w:rPr>
                <w:rFonts w:hint="eastAsia" w:ascii="宋体" w:hAnsi="宋体" w:eastAsia="宋体" w:cs="宋体"/>
                <w:i w:val="0"/>
                <w:iCs w:val="0"/>
                <w:color w:val="000000"/>
                <w:sz w:val="18"/>
                <w:szCs w:val="18"/>
                <w:u w:val="none"/>
              </w:rPr>
            </w:pPr>
          </w:p>
        </w:tc>
        <w:tc>
          <w:tcPr>
            <w:tcW w:w="1881" w:type="pct"/>
            <w:tcBorders>
              <w:top w:val="single" w:color="000000" w:sz="4" w:space="0"/>
              <w:left w:val="single" w:color="000000" w:sz="4" w:space="0"/>
              <w:bottom w:val="single" w:color="000000" w:sz="4" w:space="0"/>
              <w:right w:val="single" w:color="000000" w:sz="4" w:space="0"/>
            </w:tcBorders>
            <w:shd w:val="clear"/>
            <w:noWrap/>
            <w:vAlign w:val="center"/>
          </w:tcPr>
          <w:p w14:paraId="78BE63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资金使用合规性</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74C6F5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合规</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756C4B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合规</w:t>
            </w:r>
          </w:p>
        </w:tc>
        <w:tc>
          <w:tcPr>
            <w:tcW w:w="136" w:type="pct"/>
            <w:tcBorders>
              <w:top w:val="single" w:color="000000" w:sz="4" w:space="0"/>
              <w:left w:val="single" w:color="000000" w:sz="4" w:space="0"/>
              <w:bottom w:val="single" w:color="000000" w:sz="4" w:space="0"/>
              <w:right w:val="single" w:color="000000" w:sz="4" w:space="0"/>
            </w:tcBorders>
            <w:shd w:val="clear"/>
            <w:noWrap/>
            <w:vAlign w:val="center"/>
          </w:tcPr>
          <w:p w14:paraId="1DEB959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4</w:t>
            </w: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281567E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4</w:t>
            </w:r>
          </w:p>
        </w:tc>
        <w:tc>
          <w:tcPr>
            <w:tcW w:w="991" w:type="pct"/>
            <w:tcBorders>
              <w:top w:val="single" w:color="000000" w:sz="4" w:space="0"/>
              <w:left w:val="single" w:color="000000" w:sz="4" w:space="0"/>
              <w:bottom w:val="single" w:color="000000" w:sz="4" w:space="0"/>
              <w:right w:val="single" w:color="000000" w:sz="4" w:space="0"/>
            </w:tcBorders>
            <w:shd w:val="clear"/>
            <w:vAlign w:val="center"/>
          </w:tcPr>
          <w:p w14:paraId="0E3E2E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评价要点：</w:t>
            </w:r>
            <w:r>
              <w:rPr>
                <w:rFonts w:ascii="Segoe UI" w:hAnsi="Segoe UI" w:eastAsia="Segoe UI" w:cs="Segoe UI"/>
                <w:i w:val="0"/>
                <w:iCs w:val="0"/>
                <w:color w:val="000000"/>
                <w:kern w:val="0"/>
                <w:sz w:val="18"/>
                <w:szCs w:val="18"/>
                <w:u w:val="none"/>
                <w:bdr w:val="none" w:color="auto" w:sz="0" w:space="0"/>
                <w:lang w:val="en-US" w:eastAsia="zh-CN" w:bidi="ar"/>
              </w:rPr>
              <w:t xml:space="preserve"> </w:t>
            </w:r>
            <w:r>
              <w:rPr>
                <w:rStyle w:val="15"/>
                <w:bdr w:val="none" w:color="auto" w:sz="0" w:space="0"/>
                <w:lang w:val="en-US" w:eastAsia="zh-CN" w:bidi="ar"/>
              </w:rPr>
              <w:t>①是否符合国家财经法规和财务管理制度以及有关专项资金管理办法的规定；</w:t>
            </w:r>
            <w:r>
              <w:rPr>
                <w:rFonts w:ascii="Segoe UI" w:hAnsi="Segoe UI" w:eastAsia="Segoe UI" w:cs="Segoe UI"/>
                <w:i w:val="0"/>
                <w:iCs w:val="0"/>
                <w:color w:val="000000"/>
                <w:kern w:val="0"/>
                <w:sz w:val="18"/>
                <w:szCs w:val="18"/>
                <w:u w:val="none"/>
                <w:bdr w:val="none" w:color="auto" w:sz="0" w:space="0"/>
                <w:lang w:val="en-US" w:eastAsia="zh-CN" w:bidi="ar"/>
              </w:rPr>
              <w:t xml:space="preserve"> </w:t>
            </w:r>
            <w:r>
              <w:rPr>
                <w:rStyle w:val="15"/>
                <w:bdr w:val="none" w:color="auto" w:sz="0" w:space="0"/>
                <w:lang w:val="en-US" w:eastAsia="zh-CN" w:bidi="ar"/>
              </w:rPr>
              <w:t>②资金的拨付是否有完整的审批程序和手续；</w:t>
            </w:r>
            <w:r>
              <w:rPr>
                <w:rFonts w:ascii="Segoe UI" w:hAnsi="Segoe UI" w:eastAsia="Segoe UI" w:cs="Segoe UI"/>
                <w:i w:val="0"/>
                <w:iCs w:val="0"/>
                <w:color w:val="000000"/>
                <w:kern w:val="0"/>
                <w:sz w:val="18"/>
                <w:szCs w:val="18"/>
                <w:u w:val="none"/>
                <w:bdr w:val="none" w:color="auto" w:sz="0" w:space="0"/>
                <w:lang w:val="en-US" w:eastAsia="zh-CN" w:bidi="ar"/>
              </w:rPr>
              <w:t xml:space="preserve"> </w:t>
            </w:r>
            <w:r>
              <w:rPr>
                <w:rStyle w:val="15"/>
                <w:bdr w:val="none" w:color="auto" w:sz="0" w:space="0"/>
                <w:lang w:val="en-US" w:eastAsia="zh-CN" w:bidi="ar"/>
              </w:rPr>
              <w:t>③是否符合项目预算批复或合同规定的用途；</w:t>
            </w:r>
            <w:r>
              <w:rPr>
                <w:rFonts w:ascii="Segoe UI" w:hAnsi="Segoe UI" w:eastAsia="Segoe UI" w:cs="Segoe UI"/>
                <w:i w:val="0"/>
                <w:iCs w:val="0"/>
                <w:color w:val="000000"/>
                <w:kern w:val="0"/>
                <w:sz w:val="18"/>
                <w:szCs w:val="18"/>
                <w:u w:val="none"/>
                <w:bdr w:val="none" w:color="auto" w:sz="0" w:space="0"/>
                <w:lang w:val="en-US" w:eastAsia="zh-CN" w:bidi="ar"/>
              </w:rPr>
              <w:t xml:space="preserve"> </w:t>
            </w:r>
            <w:r>
              <w:rPr>
                <w:rStyle w:val="15"/>
                <w:bdr w:val="none" w:color="auto" w:sz="0" w:space="0"/>
                <w:lang w:val="en-US" w:eastAsia="zh-CN" w:bidi="ar"/>
              </w:rPr>
              <w:t>④是否存在截留、挤占、挪用、虚列支出等情况。</w:t>
            </w:r>
            <w:r>
              <w:rPr>
                <w:rFonts w:ascii="Segoe UI" w:hAnsi="Segoe UI" w:eastAsia="Segoe UI" w:cs="Segoe UI"/>
                <w:i w:val="0"/>
                <w:iCs w:val="0"/>
                <w:color w:val="000000"/>
                <w:kern w:val="0"/>
                <w:sz w:val="18"/>
                <w:szCs w:val="18"/>
                <w:u w:val="none"/>
                <w:bdr w:val="none" w:color="auto" w:sz="0" w:space="0"/>
                <w:lang w:val="en-US" w:eastAsia="zh-CN" w:bidi="ar"/>
              </w:rPr>
              <w:t xml:space="preserve"> </w:t>
            </w:r>
            <w:r>
              <w:rPr>
                <w:rStyle w:val="15"/>
                <w:bdr w:val="none" w:color="auto" w:sz="0" w:space="0"/>
                <w:lang w:val="en-US" w:eastAsia="zh-CN" w:bidi="ar"/>
              </w:rPr>
              <w:t>评分规则：以上评价要点各占</w:t>
            </w:r>
            <w:r>
              <w:rPr>
                <w:rFonts w:ascii="Segoe UI" w:hAnsi="Segoe UI" w:eastAsia="Segoe UI" w:cs="Segoe UI"/>
                <w:i w:val="0"/>
                <w:iCs w:val="0"/>
                <w:color w:val="000000"/>
                <w:kern w:val="0"/>
                <w:sz w:val="18"/>
                <w:szCs w:val="18"/>
                <w:u w:val="none"/>
                <w:bdr w:val="none" w:color="auto" w:sz="0" w:space="0"/>
                <w:lang w:val="en-US" w:eastAsia="zh-CN" w:bidi="ar"/>
              </w:rPr>
              <w:t>25%</w:t>
            </w:r>
            <w:r>
              <w:rPr>
                <w:rStyle w:val="15"/>
                <w:bdr w:val="none" w:color="auto" w:sz="0" w:space="0"/>
                <w:lang w:val="en-US" w:eastAsia="zh-CN" w:bidi="ar"/>
              </w:rPr>
              <w:t>权重，每个要点执行情况分达成、部分达成、未达成三档，按</w:t>
            </w:r>
            <w:r>
              <w:rPr>
                <w:rFonts w:ascii="Segoe UI" w:hAnsi="Segoe UI" w:eastAsia="Segoe UI" w:cs="Segoe UI"/>
                <w:i w:val="0"/>
                <w:iCs w:val="0"/>
                <w:color w:val="000000"/>
                <w:kern w:val="0"/>
                <w:sz w:val="18"/>
                <w:szCs w:val="18"/>
                <w:u w:val="none"/>
                <w:bdr w:val="none" w:color="auto" w:sz="0" w:space="0"/>
                <w:lang w:val="en-US" w:eastAsia="zh-CN" w:bidi="ar"/>
              </w:rPr>
              <w:t>100%-80%</w:t>
            </w:r>
            <w:r>
              <w:rPr>
                <w:rStyle w:val="15"/>
                <w:bdr w:val="none" w:color="auto" w:sz="0" w:space="0"/>
                <w:lang w:val="en-US" w:eastAsia="zh-CN" w:bidi="ar"/>
              </w:rPr>
              <w:t>（含）、</w:t>
            </w:r>
            <w:r>
              <w:rPr>
                <w:rFonts w:ascii="Segoe UI" w:hAnsi="Segoe UI" w:eastAsia="Segoe UI" w:cs="Segoe UI"/>
                <w:i w:val="0"/>
                <w:iCs w:val="0"/>
                <w:color w:val="000000"/>
                <w:kern w:val="0"/>
                <w:sz w:val="18"/>
                <w:szCs w:val="18"/>
                <w:u w:val="none"/>
                <w:bdr w:val="none" w:color="auto" w:sz="0" w:space="0"/>
                <w:lang w:val="en-US" w:eastAsia="zh-CN" w:bidi="ar"/>
              </w:rPr>
              <w:t>80%-60%</w:t>
            </w:r>
            <w:r>
              <w:rPr>
                <w:rStyle w:val="15"/>
                <w:bdr w:val="none" w:color="auto" w:sz="0" w:space="0"/>
                <w:lang w:val="en-US" w:eastAsia="zh-CN" w:bidi="ar"/>
              </w:rPr>
              <w:t>（含）、</w:t>
            </w:r>
            <w:r>
              <w:rPr>
                <w:rFonts w:ascii="Segoe UI" w:hAnsi="Segoe UI" w:eastAsia="Segoe UI" w:cs="Segoe UI"/>
                <w:i w:val="0"/>
                <w:iCs w:val="0"/>
                <w:color w:val="000000"/>
                <w:kern w:val="0"/>
                <w:sz w:val="18"/>
                <w:szCs w:val="18"/>
                <w:u w:val="none"/>
                <w:bdr w:val="none" w:color="auto" w:sz="0" w:space="0"/>
                <w:lang w:val="en-US" w:eastAsia="zh-CN" w:bidi="ar"/>
              </w:rPr>
              <w:t>60%-0%</w:t>
            </w:r>
            <w:r>
              <w:rPr>
                <w:rStyle w:val="15"/>
                <w:bdr w:val="none" w:color="auto" w:sz="0" w:space="0"/>
                <w:lang w:val="en-US" w:eastAsia="zh-CN" w:bidi="ar"/>
              </w:rPr>
              <w:t>评分。</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1FCB4666">
            <w:pPr>
              <w:jc w:val="left"/>
              <w:rPr>
                <w:rFonts w:hint="default" w:ascii="Segoe UI" w:hAnsi="Segoe UI" w:eastAsia="Segoe UI" w:cs="Segoe UI"/>
                <w:i w:val="0"/>
                <w:iCs w:val="0"/>
                <w:color w:val="000000"/>
                <w:sz w:val="18"/>
                <w:szCs w:val="18"/>
                <w:u w:val="none"/>
              </w:rPr>
            </w:pPr>
          </w:p>
        </w:tc>
      </w:tr>
      <w:tr w14:paraId="565BB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6B66A90B">
            <w:pPr>
              <w:jc w:val="left"/>
              <w:rPr>
                <w:rFonts w:hint="eastAsia" w:ascii="宋体" w:hAnsi="宋体" w:eastAsia="宋体" w:cs="宋体"/>
                <w:i w:val="0"/>
                <w:iCs w:val="0"/>
                <w:color w:val="000000"/>
                <w:sz w:val="18"/>
                <w:szCs w:val="18"/>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2E7B3A7E">
            <w:pPr>
              <w:jc w:val="left"/>
              <w:rPr>
                <w:rFonts w:hint="eastAsia" w:ascii="宋体" w:hAnsi="宋体" w:eastAsia="宋体" w:cs="宋体"/>
                <w:i w:val="0"/>
                <w:iCs w:val="0"/>
                <w:color w:val="000000"/>
                <w:sz w:val="18"/>
                <w:szCs w:val="18"/>
                <w:u w:val="none"/>
              </w:rPr>
            </w:pPr>
          </w:p>
        </w:tc>
        <w:tc>
          <w:tcPr>
            <w:tcW w:w="1881" w:type="pct"/>
            <w:tcBorders>
              <w:top w:val="single" w:color="000000" w:sz="4" w:space="0"/>
              <w:left w:val="single" w:color="000000" w:sz="4" w:space="0"/>
              <w:bottom w:val="single" w:color="000000" w:sz="4" w:space="0"/>
              <w:right w:val="single" w:color="000000" w:sz="4" w:space="0"/>
            </w:tcBorders>
            <w:shd w:val="clear"/>
            <w:noWrap/>
            <w:vAlign w:val="center"/>
          </w:tcPr>
          <w:p w14:paraId="6C600D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资金到位率</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7051E3D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100%</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1C87232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100%</w:t>
            </w:r>
          </w:p>
        </w:tc>
        <w:tc>
          <w:tcPr>
            <w:tcW w:w="136" w:type="pct"/>
            <w:tcBorders>
              <w:top w:val="single" w:color="000000" w:sz="4" w:space="0"/>
              <w:left w:val="single" w:color="000000" w:sz="4" w:space="0"/>
              <w:bottom w:val="single" w:color="000000" w:sz="4" w:space="0"/>
              <w:right w:val="single" w:color="000000" w:sz="4" w:space="0"/>
            </w:tcBorders>
            <w:shd w:val="clear"/>
            <w:noWrap/>
            <w:vAlign w:val="center"/>
          </w:tcPr>
          <w:p w14:paraId="3430957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3</w:t>
            </w: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68C93FB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3</w:t>
            </w:r>
          </w:p>
        </w:tc>
        <w:tc>
          <w:tcPr>
            <w:tcW w:w="991" w:type="pct"/>
            <w:tcBorders>
              <w:top w:val="single" w:color="000000" w:sz="4" w:space="0"/>
              <w:left w:val="single" w:color="000000" w:sz="4" w:space="0"/>
              <w:bottom w:val="single" w:color="000000" w:sz="4" w:space="0"/>
              <w:right w:val="single" w:color="000000" w:sz="4" w:space="0"/>
            </w:tcBorders>
            <w:shd w:val="clear"/>
            <w:vAlign w:val="center"/>
          </w:tcPr>
          <w:p w14:paraId="4E0939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资金到位率</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（实际到位资金</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预算资金）</w:t>
            </w:r>
            <w:r>
              <w:rPr>
                <w:rFonts w:ascii="Segoe UI" w:hAnsi="Segoe UI" w:eastAsia="Segoe UI" w:cs="Segoe UI"/>
                <w:i w:val="0"/>
                <w:iCs w:val="0"/>
                <w:color w:val="000000"/>
                <w:kern w:val="0"/>
                <w:sz w:val="18"/>
                <w:szCs w:val="18"/>
                <w:u w:val="none"/>
                <w:bdr w:val="none" w:color="auto" w:sz="0" w:space="0"/>
                <w:lang w:val="en-US" w:eastAsia="zh-CN" w:bidi="ar"/>
              </w:rPr>
              <w:t>×100%</w:t>
            </w:r>
            <w:r>
              <w:rPr>
                <w:rStyle w:val="15"/>
                <w:bdr w:val="none" w:color="auto" w:sz="0" w:space="0"/>
                <w:lang w:val="en-US" w:eastAsia="zh-CN" w:bidi="ar"/>
              </w:rPr>
              <w:t>。</w:t>
            </w:r>
            <w:r>
              <w:rPr>
                <w:rFonts w:ascii="Segoe UI" w:hAnsi="Segoe UI" w:eastAsia="Segoe UI" w:cs="Segoe UI"/>
                <w:i w:val="0"/>
                <w:iCs w:val="0"/>
                <w:color w:val="000000"/>
                <w:kern w:val="0"/>
                <w:sz w:val="18"/>
                <w:szCs w:val="18"/>
                <w:u w:val="none"/>
                <w:bdr w:val="none" w:color="auto" w:sz="0" w:space="0"/>
                <w:lang w:val="en-US" w:eastAsia="zh-CN" w:bidi="ar"/>
              </w:rPr>
              <w:t xml:space="preserve"> </w:t>
            </w:r>
            <w:r>
              <w:rPr>
                <w:rStyle w:val="15"/>
                <w:bdr w:val="none" w:color="auto" w:sz="0" w:space="0"/>
                <w:lang w:val="en-US" w:eastAsia="zh-CN" w:bidi="ar"/>
              </w:rPr>
              <w:t>实际到位资金：一定时期（本年度或项目期）内落实到具体项目的资金。</w:t>
            </w:r>
            <w:r>
              <w:rPr>
                <w:rFonts w:ascii="Segoe UI" w:hAnsi="Segoe UI" w:eastAsia="Segoe UI" w:cs="Segoe UI"/>
                <w:i w:val="0"/>
                <w:iCs w:val="0"/>
                <w:color w:val="000000"/>
                <w:kern w:val="0"/>
                <w:sz w:val="18"/>
                <w:szCs w:val="18"/>
                <w:u w:val="none"/>
                <w:bdr w:val="none" w:color="auto" w:sz="0" w:space="0"/>
                <w:lang w:val="en-US" w:eastAsia="zh-CN" w:bidi="ar"/>
              </w:rPr>
              <w:t xml:space="preserve"> </w:t>
            </w:r>
            <w:r>
              <w:rPr>
                <w:rStyle w:val="15"/>
                <w:bdr w:val="none" w:color="auto" w:sz="0" w:space="0"/>
                <w:lang w:val="en-US" w:eastAsia="zh-CN" w:bidi="ar"/>
              </w:rPr>
              <w:t>预算资金：一定时期（本年度或项目期）内预算安排到具体项目的资金。</w:t>
            </w:r>
            <w:r>
              <w:rPr>
                <w:rFonts w:ascii="Segoe UI" w:hAnsi="Segoe UI" w:eastAsia="Segoe UI" w:cs="Segoe UI"/>
                <w:i w:val="0"/>
                <w:iCs w:val="0"/>
                <w:color w:val="000000"/>
                <w:kern w:val="0"/>
                <w:sz w:val="18"/>
                <w:szCs w:val="18"/>
                <w:u w:val="none"/>
                <w:bdr w:val="none" w:color="auto" w:sz="0" w:space="0"/>
                <w:lang w:val="en-US" w:eastAsia="zh-CN" w:bidi="ar"/>
              </w:rPr>
              <w:t xml:space="preserve"> </w:t>
            </w:r>
            <w:r>
              <w:rPr>
                <w:rStyle w:val="15"/>
                <w:bdr w:val="none" w:color="auto" w:sz="0" w:space="0"/>
                <w:lang w:val="en-US" w:eastAsia="zh-CN" w:bidi="ar"/>
              </w:rPr>
              <w:t>评分规则：得分</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资金到位率</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分值。</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43E8A36F">
            <w:pPr>
              <w:jc w:val="left"/>
              <w:rPr>
                <w:rFonts w:hint="default" w:ascii="Segoe UI" w:hAnsi="Segoe UI" w:eastAsia="Segoe UI" w:cs="Segoe UI"/>
                <w:i w:val="0"/>
                <w:iCs w:val="0"/>
                <w:color w:val="000000"/>
                <w:sz w:val="18"/>
                <w:szCs w:val="18"/>
                <w:u w:val="none"/>
              </w:rPr>
            </w:pPr>
          </w:p>
        </w:tc>
      </w:tr>
      <w:tr w14:paraId="1B356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504415A0">
            <w:pPr>
              <w:jc w:val="left"/>
              <w:rPr>
                <w:rFonts w:hint="eastAsia" w:ascii="宋体" w:hAnsi="宋体" w:eastAsia="宋体" w:cs="宋体"/>
                <w:i w:val="0"/>
                <w:iCs w:val="0"/>
                <w:color w:val="000000"/>
                <w:sz w:val="18"/>
                <w:szCs w:val="18"/>
                <w:u w:val="none"/>
              </w:rPr>
            </w:pPr>
          </w:p>
        </w:tc>
        <w:tc>
          <w:tcPr>
            <w:tcW w:w="349"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0C769C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组织实施</w:t>
            </w:r>
            <w:r>
              <w:rPr>
                <w:rFonts w:ascii="Segoe UI" w:hAnsi="Segoe UI" w:eastAsia="Segoe UI" w:cs="Segoe UI"/>
                <w:i w:val="0"/>
                <w:iCs w:val="0"/>
                <w:color w:val="000000"/>
                <w:kern w:val="0"/>
                <w:sz w:val="18"/>
                <w:szCs w:val="18"/>
                <w:u w:val="none"/>
                <w:bdr w:val="none" w:color="auto" w:sz="0" w:space="0"/>
                <w:lang w:val="en-US" w:eastAsia="zh-CN" w:bidi="ar"/>
              </w:rPr>
              <w:t>(8)</w:t>
            </w:r>
          </w:p>
        </w:tc>
        <w:tc>
          <w:tcPr>
            <w:tcW w:w="1881" w:type="pct"/>
            <w:tcBorders>
              <w:top w:val="single" w:color="000000" w:sz="4" w:space="0"/>
              <w:left w:val="single" w:color="000000" w:sz="4" w:space="0"/>
              <w:bottom w:val="single" w:color="000000" w:sz="4" w:space="0"/>
              <w:right w:val="single" w:color="000000" w:sz="4" w:space="0"/>
            </w:tcBorders>
            <w:shd w:val="clear"/>
            <w:noWrap/>
            <w:vAlign w:val="center"/>
          </w:tcPr>
          <w:p w14:paraId="1FD553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管理制度健全性</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2F675A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健全</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704934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健全</w:t>
            </w:r>
          </w:p>
        </w:tc>
        <w:tc>
          <w:tcPr>
            <w:tcW w:w="136" w:type="pct"/>
            <w:tcBorders>
              <w:top w:val="single" w:color="000000" w:sz="4" w:space="0"/>
              <w:left w:val="single" w:color="000000" w:sz="4" w:space="0"/>
              <w:bottom w:val="single" w:color="000000" w:sz="4" w:space="0"/>
              <w:right w:val="single" w:color="000000" w:sz="4" w:space="0"/>
            </w:tcBorders>
            <w:shd w:val="clear"/>
            <w:noWrap/>
            <w:vAlign w:val="center"/>
          </w:tcPr>
          <w:p w14:paraId="4472385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2</w:t>
            </w: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5644C75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2</w:t>
            </w:r>
          </w:p>
        </w:tc>
        <w:tc>
          <w:tcPr>
            <w:tcW w:w="991" w:type="pct"/>
            <w:tcBorders>
              <w:top w:val="single" w:color="000000" w:sz="4" w:space="0"/>
              <w:left w:val="single" w:color="000000" w:sz="4" w:space="0"/>
              <w:bottom w:val="single" w:color="000000" w:sz="4" w:space="0"/>
              <w:right w:val="single" w:color="000000" w:sz="4" w:space="0"/>
            </w:tcBorders>
            <w:shd w:val="clear"/>
            <w:vAlign w:val="center"/>
          </w:tcPr>
          <w:p w14:paraId="0B99BB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评价要点：</w:t>
            </w:r>
            <w:r>
              <w:rPr>
                <w:rFonts w:ascii="Segoe UI" w:hAnsi="Segoe UI" w:eastAsia="Segoe UI" w:cs="Segoe UI"/>
                <w:i w:val="0"/>
                <w:iCs w:val="0"/>
                <w:color w:val="000000"/>
                <w:kern w:val="0"/>
                <w:sz w:val="18"/>
                <w:szCs w:val="18"/>
                <w:u w:val="none"/>
                <w:bdr w:val="none" w:color="auto" w:sz="0" w:space="0"/>
                <w:lang w:val="en-US" w:eastAsia="zh-CN" w:bidi="ar"/>
              </w:rPr>
              <w:t xml:space="preserve"> </w:t>
            </w:r>
            <w:r>
              <w:rPr>
                <w:rStyle w:val="15"/>
                <w:bdr w:val="none" w:color="auto" w:sz="0" w:space="0"/>
                <w:lang w:val="en-US" w:eastAsia="zh-CN" w:bidi="ar"/>
              </w:rPr>
              <w:t>①是否已制定或具有相应的财务和业务管理等制度；</w:t>
            </w:r>
            <w:r>
              <w:rPr>
                <w:rFonts w:ascii="Segoe UI" w:hAnsi="Segoe UI" w:eastAsia="Segoe UI" w:cs="Segoe UI"/>
                <w:i w:val="0"/>
                <w:iCs w:val="0"/>
                <w:color w:val="000000"/>
                <w:kern w:val="0"/>
                <w:sz w:val="18"/>
                <w:szCs w:val="18"/>
                <w:u w:val="none"/>
                <w:bdr w:val="none" w:color="auto" w:sz="0" w:space="0"/>
                <w:lang w:val="en-US" w:eastAsia="zh-CN" w:bidi="ar"/>
              </w:rPr>
              <w:t xml:space="preserve"> </w:t>
            </w:r>
            <w:r>
              <w:rPr>
                <w:rStyle w:val="15"/>
                <w:bdr w:val="none" w:color="auto" w:sz="0" w:space="0"/>
                <w:lang w:val="en-US" w:eastAsia="zh-CN" w:bidi="ar"/>
              </w:rPr>
              <w:t>②财务和业务管理等制度是否合法、合规、完整。</w:t>
            </w:r>
            <w:r>
              <w:rPr>
                <w:rFonts w:ascii="Segoe UI" w:hAnsi="Segoe UI" w:eastAsia="Segoe UI" w:cs="Segoe UI"/>
                <w:i w:val="0"/>
                <w:iCs w:val="0"/>
                <w:color w:val="000000"/>
                <w:kern w:val="0"/>
                <w:sz w:val="18"/>
                <w:szCs w:val="18"/>
                <w:u w:val="none"/>
                <w:bdr w:val="none" w:color="auto" w:sz="0" w:space="0"/>
                <w:lang w:val="en-US" w:eastAsia="zh-CN" w:bidi="ar"/>
              </w:rPr>
              <w:t xml:space="preserve"> </w:t>
            </w:r>
            <w:r>
              <w:rPr>
                <w:rStyle w:val="15"/>
                <w:bdr w:val="none" w:color="auto" w:sz="0" w:space="0"/>
                <w:lang w:val="en-US" w:eastAsia="zh-CN" w:bidi="ar"/>
              </w:rPr>
              <w:t>评分规则：以上评价要点各占</w:t>
            </w:r>
            <w:r>
              <w:rPr>
                <w:rFonts w:ascii="Segoe UI" w:hAnsi="Segoe UI" w:eastAsia="Segoe UI" w:cs="Segoe UI"/>
                <w:i w:val="0"/>
                <w:iCs w:val="0"/>
                <w:color w:val="000000"/>
                <w:kern w:val="0"/>
                <w:sz w:val="18"/>
                <w:szCs w:val="18"/>
                <w:u w:val="none"/>
                <w:bdr w:val="none" w:color="auto" w:sz="0" w:space="0"/>
                <w:lang w:val="en-US" w:eastAsia="zh-CN" w:bidi="ar"/>
              </w:rPr>
              <w:t>50%</w:t>
            </w:r>
            <w:r>
              <w:rPr>
                <w:rStyle w:val="15"/>
                <w:bdr w:val="none" w:color="auto" w:sz="0" w:space="0"/>
                <w:lang w:val="en-US" w:eastAsia="zh-CN" w:bidi="ar"/>
              </w:rPr>
              <w:t>权重，每个要点执行情况分达成、部分达成、未达成三档，按</w:t>
            </w:r>
            <w:r>
              <w:rPr>
                <w:rFonts w:ascii="Segoe UI" w:hAnsi="Segoe UI" w:eastAsia="Segoe UI" w:cs="Segoe UI"/>
                <w:i w:val="0"/>
                <w:iCs w:val="0"/>
                <w:color w:val="000000"/>
                <w:kern w:val="0"/>
                <w:sz w:val="18"/>
                <w:szCs w:val="18"/>
                <w:u w:val="none"/>
                <w:bdr w:val="none" w:color="auto" w:sz="0" w:space="0"/>
                <w:lang w:val="en-US" w:eastAsia="zh-CN" w:bidi="ar"/>
              </w:rPr>
              <w:t>100%-80%</w:t>
            </w:r>
            <w:r>
              <w:rPr>
                <w:rStyle w:val="15"/>
                <w:bdr w:val="none" w:color="auto" w:sz="0" w:space="0"/>
                <w:lang w:val="en-US" w:eastAsia="zh-CN" w:bidi="ar"/>
              </w:rPr>
              <w:t>（含）、</w:t>
            </w:r>
            <w:r>
              <w:rPr>
                <w:rFonts w:ascii="Segoe UI" w:hAnsi="Segoe UI" w:eastAsia="Segoe UI" w:cs="Segoe UI"/>
                <w:i w:val="0"/>
                <w:iCs w:val="0"/>
                <w:color w:val="000000"/>
                <w:kern w:val="0"/>
                <w:sz w:val="18"/>
                <w:szCs w:val="18"/>
                <w:u w:val="none"/>
                <w:bdr w:val="none" w:color="auto" w:sz="0" w:space="0"/>
                <w:lang w:val="en-US" w:eastAsia="zh-CN" w:bidi="ar"/>
              </w:rPr>
              <w:t>80%-60%</w:t>
            </w:r>
            <w:r>
              <w:rPr>
                <w:rStyle w:val="15"/>
                <w:bdr w:val="none" w:color="auto" w:sz="0" w:space="0"/>
                <w:lang w:val="en-US" w:eastAsia="zh-CN" w:bidi="ar"/>
              </w:rPr>
              <w:t>（含）、</w:t>
            </w:r>
            <w:r>
              <w:rPr>
                <w:rFonts w:ascii="Segoe UI" w:hAnsi="Segoe UI" w:eastAsia="Segoe UI" w:cs="Segoe UI"/>
                <w:i w:val="0"/>
                <w:iCs w:val="0"/>
                <w:color w:val="000000"/>
                <w:kern w:val="0"/>
                <w:sz w:val="18"/>
                <w:szCs w:val="18"/>
                <w:u w:val="none"/>
                <w:bdr w:val="none" w:color="auto" w:sz="0" w:space="0"/>
                <w:lang w:val="en-US" w:eastAsia="zh-CN" w:bidi="ar"/>
              </w:rPr>
              <w:t>60%-0%</w:t>
            </w:r>
            <w:r>
              <w:rPr>
                <w:rStyle w:val="15"/>
                <w:bdr w:val="none" w:color="auto" w:sz="0" w:space="0"/>
                <w:lang w:val="en-US" w:eastAsia="zh-CN" w:bidi="ar"/>
              </w:rPr>
              <w:t>评分。</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1A2B58BD">
            <w:pPr>
              <w:jc w:val="left"/>
              <w:rPr>
                <w:rFonts w:hint="default" w:ascii="Segoe UI" w:hAnsi="Segoe UI" w:eastAsia="Segoe UI" w:cs="Segoe UI"/>
                <w:i w:val="0"/>
                <w:iCs w:val="0"/>
                <w:color w:val="000000"/>
                <w:sz w:val="18"/>
                <w:szCs w:val="18"/>
                <w:u w:val="none"/>
              </w:rPr>
            </w:pPr>
          </w:p>
        </w:tc>
      </w:tr>
      <w:tr w14:paraId="72BB8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25DF2CA6">
            <w:pPr>
              <w:jc w:val="left"/>
              <w:rPr>
                <w:rFonts w:hint="eastAsia" w:ascii="宋体" w:hAnsi="宋体" w:eastAsia="宋体" w:cs="宋体"/>
                <w:i w:val="0"/>
                <w:iCs w:val="0"/>
                <w:color w:val="000000"/>
                <w:sz w:val="18"/>
                <w:szCs w:val="18"/>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2613E432">
            <w:pPr>
              <w:jc w:val="left"/>
              <w:rPr>
                <w:rFonts w:hint="eastAsia" w:ascii="宋体" w:hAnsi="宋体" w:eastAsia="宋体" w:cs="宋体"/>
                <w:i w:val="0"/>
                <w:iCs w:val="0"/>
                <w:color w:val="000000"/>
                <w:sz w:val="18"/>
                <w:szCs w:val="18"/>
                <w:u w:val="none"/>
              </w:rPr>
            </w:pPr>
          </w:p>
        </w:tc>
        <w:tc>
          <w:tcPr>
            <w:tcW w:w="1881" w:type="pct"/>
            <w:tcBorders>
              <w:top w:val="single" w:color="000000" w:sz="4" w:space="0"/>
              <w:left w:val="single" w:color="000000" w:sz="4" w:space="0"/>
              <w:bottom w:val="single" w:color="000000" w:sz="4" w:space="0"/>
              <w:right w:val="single" w:color="000000" w:sz="4" w:space="0"/>
            </w:tcBorders>
            <w:shd w:val="clear"/>
            <w:noWrap/>
            <w:vAlign w:val="center"/>
          </w:tcPr>
          <w:p w14:paraId="34D8F8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制度执行有效性</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11EDD5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有效</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1F7FD6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有效</w:t>
            </w:r>
          </w:p>
        </w:tc>
        <w:tc>
          <w:tcPr>
            <w:tcW w:w="136" w:type="pct"/>
            <w:tcBorders>
              <w:top w:val="single" w:color="000000" w:sz="4" w:space="0"/>
              <w:left w:val="single" w:color="000000" w:sz="4" w:space="0"/>
              <w:bottom w:val="single" w:color="000000" w:sz="4" w:space="0"/>
              <w:right w:val="single" w:color="000000" w:sz="4" w:space="0"/>
            </w:tcBorders>
            <w:shd w:val="clear"/>
            <w:noWrap/>
            <w:vAlign w:val="center"/>
          </w:tcPr>
          <w:p w14:paraId="7BE8F55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6</w:t>
            </w: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3030EDE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6</w:t>
            </w:r>
          </w:p>
        </w:tc>
        <w:tc>
          <w:tcPr>
            <w:tcW w:w="991" w:type="pct"/>
            <w:tcBorders>
              <w:top w:val="single" w:color="000000" w:sz="4" w:space="0"/>
              <w:left w:val="single" w:color="000000" w:sz="4" w:space="0"/>
              <w:bottom w:val="single" w:color="000000" w:sz="4" w:space="0"/>
              <w:right w:val="single" w:color="000000" w:sz="4" w:space="0"/>
            </w:tcBorders>
            <w:shd w:val="clear"/>
            <w:vAlign w:val="center"/>
          </w:tcPr>
          <w:p w14:paraId="56E79F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评价要点：</w:t>
            </w:r>
            <w:r>
              <w:rPr>
                <w:rFonts w:ascii="Segoe UI" w:hAnsi="Segoe UI" w:eastAsia="Segoe UI" w:cs="Segoe UI"/>
                <w:i w:val="0"/>
                <w:iCs w:val="0"/>
                <w:color w:val="000000"/>
                <w:kern w:val="0"/>
                <w:sz w:val="18"/>
                <w:szCs w:val="18"/>
                <w:u w:val="none"/>
                <w:bdr w:val="none" w:color="auto" w:sz="0" w:space="0"/>
                <w:lang w:val="en-US" w:eastAsia="zh-CN" w:bidi="ar"/>
              </w:rPr>
              <w:t xml:space="preserve"> </w:t>
            </w:r>
            <w:r>
              <w:rPr>
                <w:rStyle w:val="15"/>
                <w:bdr w:val="none" w:color="auto" w:sz="0" w:space="0"/>
                <w:lang w:val="en-US" w:eastAsia="zh-CN" w:bidi="ar"/>
              </w:rPr>
              <w:t>①项目是否制定合理的实施计划，实施过程中是否遵守相关法律法规和相关管理规定，并按照规定程序实施项目，进度是否符合计划；</w:t>
            </w:r>
            <w:r>
              <w:rPr>
                <w:rFonts w:ascii="Segoe UI" w:hAnsi="Segoe UI" w:eastAsia="Segoe UI" w:cs="Segoe UI"/>
                <w:i w:val="0"/>
                <w:iCs w:val="0"/>
                <w:color w:val="000000"/>
                <w:kern w:val="0"/>
                <w:sz w:val="18"/>
                <w:szCs w:val="18"/>
                <w:u w:val="none"/>
                <w:bdr w:val="none" w:color="auto" w:sz="0" w:space="0"/>
                <w:lang w:val="en-US" w:eastAsia="zh-CN" w:bidi="ar"/>
              </w:rPr>
              <w:t xml:space="preserve"> </w:t>
            </w:r>
            <w:r>
              <w:rPr>
                <w:rStyle w:val="15"/>
                <w:bdr w:val="none" w:color="auto" w:sz="0" w:space="0"/>
                <w:lang w:val="en-US" w:eastAsia="zh-CN" w:bidi="ar"/>
              </w:rPr>
              <w:t>②项目调整及支出调整手续是否完备，资产管理是否规范，是否开展监督检查、绩效监控和评价；</w:t>
            </w:r>
            <w:r>
              <w:rPr>
                <w:rFonts w:ascii="Segoe UI" w:hAnsi="Segoe UI" w:eastAsia="Segoe UI" w:cs="Segoe UI"/>
                <w:i w:val="0"/>
                <w:iCs w:val="0"/>
                <w:color w:val="000000"/>
                <w:kern w:val="0"/>
                <w:sz w:val="18"/>
                <w:szCs w:val="18"/>
                <w:u w:val="none"/>
                <w:bdr w:val="none" w:color="auto" w:sz="0" w:space="0"/>
                <w:lang w:val="en-US" w:eastAsia="zh-CN" w:bidi="ar"/>
              </w:rPr>
              <w:t xml:space="preserve"> </w:t>
            </w:r>
            <w:r>
              <w:rPr>
                <w:rStyle w:val="15"/>
                <w:bdr w:val="none" w:color="auto" w:sz="0" w:space="0"/>
                <w:lang w:val="en-US" w:eastAsia="zh-CN" w:bidi="ar"/>
              </w:rPr>
              <w:t>③项目合同书、验收报告、技术鉴定、监督检查、绩效管理等资料是否齐全并及时归档；</w:t>
            </w:r>
            <w:r>
              <w:rPr>
                <w:rFonts w:ascii="Segoe UI" w:hAnsi="Segoe UI" w:eastAsia="Segoe UI" w:cs="Segoe UI"/>
                <w:i w:val="0"/>
                <w:iCs w:val="0"/>
                <w:color w:val="000000"/>
                <w:kern w:val="0"/>
                <w:sz w:val="18"/>
                <w:szCs w:val="18"/>
                <w:u w:val="none"/>
                <w:bdr w:val="none" w:color="auto" w:sz="0" w:space="0"/>
                <w:lang w:val="en-US" w:eastAsia="zh-CN" w:bidi="ar"/>
              </w:rPr>
              <w:t xml:space="preserve"> </w:t>
            </w:r>
            <w:r>
              <w:rPr>
                <w:rStyle w:val="15"/>
                <w:bdr w:val="none" w:color="auto" w:sz="0" w:space="0"/>
                <w:lang w:val="en-US" w:eastAsia="zh-CN" w:bidi="ar"/>
              </w:rPr>
              <w:t>④项目实施的组织机构、人员条件、场地设备、信息支撑等是否落实到位；</w:t>
            </w:r>
            <w:r>
              <w:rPr>
                <w:rFonts w:ascii="Segoe UI" w:hAnsi="Segoe UI" w:eastAsia="Segoe UI" w:cs="Segoe UI"/>
                <w:i w:val="0"/>
                <w:iCs w:val="0"/>
                <w:color w:val="000000"/>
                <w:kern w:val="0"/>
                <w:sz w:val="18"/>
                <w:szCs w:val="18"/>
                <w:u w:val="none"/>
                <w:bdr w:val="none" w:color="auto" w:sz="0" w:space="0"/>
                <w:lang w:val="en-US" w:eastAsia="zh-CN" w:bidi="ar"/>
              </w:rPr>
              <w:t xml:space="preserve"> </w:t>
            </w:r>
            <w:r>
              <w:rPr>
                <w:rStyle w:val="15"/>
                <w:bdr w:val="none" w:color="auto" w:sz="0" w:space="0"/>
                <w:lang w:val="en-US" w:eastAsia="zh-CN" w:bidi="ar"/>
              </w:rPr>
              <w:t>评分规则：以上评价要点各占</w:t>
            </w:r>
            <w:r>
              <w:rPr>
                <w:rFonts w:ascii="Segoe UI" w:hAnsi="Segoe UI" w:eastAsia="Segoe UI" w:cs="Segoe UI"/>
                <w:i w:val="0"/>
                <w:iCs w:val="0"/>
                <w:color w:val="000000"/>
                <w:kern w:val="0"/>
                <w:sz w:val="18"/>
                <w:szCs w:val="18"/>
                <w:u w:val="none"/>
                <w:bdr w:val="none" w:color="auto" w:sz="0" w:space="0"/>
                <w:lang w:val="en-US" w:eastAsia="zh-CN" w:bidi="ar"/>
              </w:rPr>
              <w:t>25%</w:t>
            </w:r>
            <w:r>
              <w:rPr>
                <w:rStyle w:val="15"/>
                <w:bdr w:val="none" w:color="auto" w:sz="0" w:space="0"/>
                <w:lang w:val="en-US" w:eastAsia="zh-CN" w:bidi="ar"/>
              </w:rPr>
              <w:t>权重，每个要点执行情况分达成、部分达成、未达成三档，按</w:t>
            </w:r>
            <w:r>
              <w:rPr>
                <w:rFonts w:ascii="Segoe UI" w:hAnsi="Segoe UI" w:eastAsia="Segoe UI" w:cs="Segoe UI"/>
                <w:i w:val="0"/>
                <w:iCs w:val="0"/>
                <w:color w:val="000000"/>
                <w:kern w:val="0"/>
                <w:sz w:val="18"/>
                <w:szCs w:val="18"/>
                <w:u w:val="none"/>
                <w:bdr w:val="none" w:color="auto" w:sz="0" w:space="0"/>
                <w:lang w:val="en-US" w:eastAsia="zh-CN" w:bidi="ar"/>
              </w:rPr>
              <w:t>100%-80%</w:t>
            </w:r>
            <w:r>
              <w:rPr>
                <w:rStyle w:val="15"/>
                <w:bdr w:val="none" w:color="auto" w:sz="0" w:space="0"/>
                <w:lang w:val="en-US" w:eastAsia="zh-CN" w:bidi="ar"/>
              </w:rPr>
              <w:t>（含）、</w:t>
            </w:r>
            <w:r>
              <w:rPr>
                <w:rFonts w:ascii="Segoe UI" w:hAnsi="Segoe UI" w:eastAsia="Segoe UI" w:cs="Segoe UI"/>
                <w:i w:val="0"/>
                <w:iCs w:val="0"/>
                <w:color w:val="000000"/>
                <w:kern w:val="0"/>
                <w:sz w:val="18"/>
                <w:szCs w:val="18"/>
                <w:u w:val="none"/>
                <w:bdr w:val="none" w:color="auto" w:sz="0" w:space="0"/>
                <w:lang w:val="en-US" w:eastAsia="zh-CN" w:bidi="ar"/>
              </w:rPr>
              <w:t>80%-60%</w:t>
            </w:r>
            <w:r>
              <w:rPr>
                <w:rStyle w:val="15"/>
                <w:bdr w:val="none" w:color="auto" w:sz="0" w:space="0"/>
                <w:lang w:val="en-US" w:eastAsia="zh-CN" w:bidi="ar"/>
              </w:rPr>
              <w:t>（含）、</w:t>
            </w:r>
            <w:r>
              <w:rPr>
                <w:rFonts w:ascii="Segoe UI" w:hAnsi="Segoe UI" w:eastAsia="Segoe UI" w:cs="Segoe UI"/>
                <w:i w:val="0"/>
                <w:iCs w:val="0"/>
                <w:color w:val="000000"/>
                <w:kern w:val="0"/>
                <w:sz w:val="18"/>
                <w:szCs w:val="18"/>
                <w:u w:val="none"/>
                <w:bdr w:val="none" w:color="auto" w:sz="0" w:space="0"/>
                <w:lang w:val="en-US" w:eastAsia="zh-CN" w:bidi="ar"/>
              </w:rPr>
              <w:t>60%-0%</w:t>
            </w:r>
            <w:r>
              <w:rPr>
                <w:rStyle w:val="15"/>
                <w:bdr w:val="none" w:color="auto" w:sz="0" w:space="0"/>
                <w:lang w:val="en-US" w:eastAsia="zh-CN" w:bidi="ar"/>
              </w:rPr>
              <w:t>评分。</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371D8AF8">
            <w:pPr>
              <w:jc w:val="left"/>
              <w:rPr>
                <w:rFonts w:hint="default" w:ascii="Segoe UI" w:hAnsi="Segoe UI" w:eastAsia="Segoe UI" w:cs="Segoe UI"/>
                <w:i w:val="0"/>
                <w:iCs w:val="0"/>
                <w:color w:val="000000"/>
                <w:sz w:val="18"/>
                <w:szCs w:val="18"/>
                <w:u w:val="none"/>
              </w:rPr>
            </w:pPr>
          </w:p>
        </w:tc>
      </w:tr>
      <w:tr w14:paraId="3DFF4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5"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420397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r>
              <w:rPr>
                <w:rFonts w:ascii="Segoe UI" w:hAnsi="Segoe UI" w:eastAsia="Segoe UI" w:cs="Segoe UI"/>
                <w:i w:val="0"/>
                <w:iCs w:val="0"/>
                <w:color w:val="000000"/>
                <w:kern w:val="0"/>
                <w:sz w:val="18"/>
                <w:szCs w:val="18"/>
                <w:u w:val="none"/>
                <w:bdr w:val="none" w:color="auto" w:sz="0" w:space="0"/>
                <w:lang w:val="en-US" w:eastAsia="zh-CN" w:bidi="ar"/>
              </w:rPr>
              <w:t>(30)</w:t>
            </w:r>
          </w:p>
        </w:tc>
        <w:tc>
          <w:tcPr>
            <w:tcW w:w="349"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5B9FC5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1881" w:type="pct"/>
            <w:tcBorders>
              <w:top w:val="single" w:color="000000" w:sz="4" w:space="0"/>
              <w:left w:val="single" w:color="000000" w:sz="4" w:space="0"/>
              <w:bottom w:val="single" w:color="000000" w:sz="4" w:space="0"/>
              <w:right w:val="single" w:color="000000" w:sz="4" w:space="0"/>
            </w:tcBorders>
            <w:shd w:val="clear"/>
            <w:noWrap/>
            <w:vAlign w:val="center"/>
          </w:tcPr>
          <w:p w14:paraId="0180F6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开展按病种付费的中医优势病种数量</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6613C24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≥55</w:t>
            </w:r>
            <w:r>
              <w:rPr>
                <w:rStyle w:val="15"/>
                <w:bdr w:val="none" w:color="auto" w:sz="0" w:space="0"/>
                <w:lang w:val="en-US" w:eastAsia="zh-CN" w:bidi="ar"/>
              </w:rPr>
              <w:t>个</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0DB372D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85</w:t>
            </w:r>
          </w:p>
        </w:tc>
        <w:tc>
          <w:tcPr>
            <w:tcW w:w="136" w:type="pct"/>
            <w:tcBorders>
              <w:top w:val="single" w:color="000000" w:sz="4" w:space="0"/>
              <w:left w:val="single" w:color="000000" w:sz="4" w:space="0"/>
              <w:bottom w:val="single" w:color="000000" w:sz="4" w:space="0"/>
              <w:right w:val="single" w:color="000000" w:sz="4" w:space="0"/>
            </w:tcBorders>
            <w:shd w:val="clear"/>
            <w:noWrap/>
            <w:vAlign w:val="center"/>
          </w:tcPr>
          <w:p w14:paraId="226A489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2</w:t>
            </w: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0611AA2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2</w:t>
            </w:r>
          </w:p>
        </w:tc>
        <w:tc>
          <w:tcPr>
            <w:tcW w:w="991" w:type="pct"/>
            <w:tcBorders>
              <w:top w:val="single" w:color="000000" w:sz="4" w:space="0"/>
              <w:left w:val="single" w:color="000000" w:sz="4" w:space="0"/>
              <w:bottom w:val="single" w:color="000000" w:sz="4" w:space="0"/>
              <w:right w:val="single" w:color="000000" w:sz="4" w:space="0"/>
            </w:tcBorders>
            <w:shd w:val="clear"/>
            <w:vAlign w:val="center"/>
          </w:tcPr>
          <w:p w14:paraId="75BFAF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评价细则：按病种付费的中医优势病种数量达标得满分，若未达标，得分</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（实际值</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目标值）</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分值</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32F4CC5E">
            <w:pPr>
              <w:jc w:val="left"/>
              <w:rPr>
                <w:rFonts w:hint="default" w:ascii="Segoe UI" w:hAnsi="Segoe UI" w:eastAsia="Segoe UI" w:cs="Segoe UI"/>
                <w:i w:val="0"/>
                <w:iCs w:val="0"/>
                <w:color w:val="000000"/>
                <w:sz w:val="18"/>
                <w:szCs w:val="18"/>
                <w:u w:val="none"/>
              </w:rPr>
            </w:pPr>
          </w:p>
        </w:tc>
      </w:tr>
      <w:tr w14:paraId="0F868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402FFCE6">
            <w:pPr>
              <w:jc w:val="left"/>
              <w:rPr>
                <w:rFonts w:hint="eastAsia" w:ascii="宋体" w:hAnsi="宋体" w:eastAsia="宋体" w:cs="宋体"/>
                <w:i w:val="0"/>
                <w:iCs w:val="0"/>
                <w:color w:val="000000"/>
                <w:sz w:val="18"/>
                <w:szCs w:val="18"/>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2091DC72">
            <w:pPr>
              <w:jc w:val="left"/>
              <w:rPr>
                <w:rFonts w:hint="eastAsia" w:ascii="宋体" w:hAnsi="宋体" w:eastAsia="宋体" w:cs="宋体"/>
                <w:i w:val="0"/>
                <w:iCs w:val="0"/>
                <w:color w:val="000000"/>
                <w:sz w:val="18"/>
                <w:szCs w:val="18"/>
                <w:u w:val="none"/>
              </w:rPr>
            </w:pPr>
          </w:p>
        </w:tc>
        <w:tc>
          <w:tcPr>
            <w:tcW w:w="1881" w:type="pct"/>
            <w:tcBorders>
              <w:top w:val="single" w:color="000000" w:sz="4" w:space="0"/>
              <w:left w:val="single" w:color="000000" w:sz="4" w:space="0"/>
              <w:bottom w:val="single" w:color="000000" w:sz="4" w:space="0"/>
              <w:right w:val="single" w:color="000000" w:sz="4" w:space="0"/>
            </w:tcBorders>
            <w:shd w:val="clear"/>
            <w:noWrap/>
            <w:vAlign w:val="center"/>
          </w:tcPr>
          <w:p w14:paraId="6B5E4E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非中医类别医师接受西学中培训人数</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1565B7C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≥2450</w:t>
            </w:r>
            <w:r>
              <w:rPr>
                <w:rStyle w:val="15"/>
                <w:bdr w:val="none" w:color="auto" w:sz="0" w:space="0"/>
                <w:lang w:val="en-US" w:eastAsia="zh-CN" w:bidi="ar"/>
              </w:rPr>
              <w:t>个</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274E3E9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2701</w:t>
            </w:r>
          </w:p>
        </w:tc>
        <w:tc>
          <w:tcPr>
            <w:tcW w:w="136" w:type="pct"/>
            <w:tcBorders>
              <w:top w:val="single" w:color="000000" w:sz="4" w:space="0"/>
              <w:left w:val="single" w:color="000000" w:sz="4" w:space="0"/>
              <w:bottom w:val="single" w:color="000000" w:sz="4" w:space="0"/>
              <w:right w:val="single" w:color="000000" w:sz="4" w:space="0"/>
            </w:tcBorders>
            <w:shd w:val="clear"/>
            <w:noWrap/>
            <w:vAlign w:val="center"/>
          </w:tcPr>
          <w:p w14:paraId="480BB89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2</w:t>
            </w: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7E41D22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2</w:t>
            </w:r>
          </w:p>
        </w:tc>
        <w:tc>
          <w:tcPr>
            <w:tcW w:w="991" w:type="pct"/>
            <w:tcBorders>
              <w:top w:val="single" w:color="000000" w:sz="4" w:space="0"/>
              <w:left w:val="single" w:color="000000" w:sz="4" w:space="0"/>
              <w:bottom w:val="single" w:color="000000" w:sz="4" w:space="0"/>
              <w:right w:val="single" w:color="000000" w:sz="4" w:space="0"/>
            </w:tcBorders>
            <w:shd w:val="clear"/>
            <w:vAlign w:val="center"/>
          </w:tcPr>
          <w:p w14:paraId="5A0F9B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评价细则：非中医类别医师接受西学中培训人数达标得满分，若未达标，得分</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（实际值</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目标值）</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分值</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42C7700A">
            <w:pPr>
              <w:jc w:val="left"/>
              <w:rPr>
                <w:rFonts w:hint="default" w:ascii="Segoe UI" w:hAnsi="Segoe UI" w:eastAsia="Segoe UI" w:cs="Segoe UI"/>
                <w:i w:val="0"/>
                <w:iCs w:val="0"/>
                <w:color w:val="000000"/>
                <w:sz w:val="18"/>
                <w:szCs w:val="18"/>
                <w:u w:val="none"/>
              </w:rPr>
            </w:pPr>
          </w:p>
        </w:tc>
      </w:tr>
      <w:tr w14:paraId="7322C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6BF28B9D">
            <w:pPr>
              <w:jc w:val="left"/>
              <w:rPr>
                <w:rFonts w:hint="eastAsia" w:ascii="宋体" w:hAnsi="宋体" w:eastAsia="宋体" w:cs="宋体"/>
                <w:i w:val="0"/>
                <w:iCs w:val="0"/>
                <w:color w:val="000000"/>
                <w:sz w:val="18"/>
                <w:szCs w:val="18"/>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5FE844EE">
            <w:pPr>
              <w:jc w:val="left"/>
              <w:rPr>
                <w:rFonts w:hint="eastAsia" w:ascii="宋体" w:hAnsi="宋体" w:eastAsia="宋体" w:cs="宋体"/>
                <w:i w:val="0"/>
                <w:iCs w:val="0"/>
                <w:color w:val="000000"/>
                <w:sz w:val="18"/>
                <w:szCs w:val="18"/>
                <w:u w:val="none"/>
              </w:rPr>
            </w:pPr>
          </w:p>
        </w:tc>
        <w:tc>
          <w:tcPr>
            <w:tcW w:w="1881" w:type="pct"/>
            <w:tcBorders>
              <w:top w:val="single" w:color="000000" w:sz="4" w:space="0"/>
              <w:left w:val="single" w:color="000000" w:sz="4" w:space="0"/>
              <w:bottom w:val="single" w:color="000000" w:sz="4" w:space="0"/>
              <w:right w:val="single" w:color="000000" w:sz="4" w:space="0"/>
            </w:tcBorders>
            <w:shd w:val="clear"/>
            <w:noWrap/>
            <w:vAlign w:val="center"/>
          </w:tcPr>
          <w:p w14:paraId="725200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市、县老药工专家传承工作室建设数量</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1F4C894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≥2</w:t>
            </w:r>
            <w:r>
              <w:rPr>
                <w:rStyle w:val="15"/>
                <w:bdr w:val="none" w:color="auto" w:sz="0" w:space="0"/>
                <w:lang w:val="en-US" w:eastAsia="zh-CN" w:bidi="ar"/>
              </w:rPr>
              <w:t>个</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1B3E596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6</w:t>
            </w:r>
          </w:p>
        </w:tc>
        <w:tc>
          <w:tcPr>
            <w:tcW w:w="136" w:type="pct"/>
            <w:tcBorders>
              <w:top w:val="single" w:color="000000" w:sz="4" w:space="0"/>
              <w:left w:val="single" w:color="000000" w:sz="4" w:space="0"/>
              <w:bottom w:val="single" w:color="000000" w:sz="4" w:space="0"/>
              <w:right w:val="single" w:color="000000" w:sz="4" w:space="0"/>
            </w:tcBorders>
            <w:shd w:val="clear"/>
            <w:noWrap/>
            <w:vAlign w:val="center"/>
          </w:tcPr>
          <w:p w14:paraId="07229A2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2</w:t>
            </w: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41DB67D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2</w:t>
            </w:r>
          </w:p>
        </w:tc>
        <w:tc>
          <w:tcPr>
            <w:tcW w:w="991" w:type="pct"/>
            <w:tcBorders>
              <w:top w:val="single" w:color="000000" w:sz="4" w:space="0"/>
              <w:left w:val="single" w:color="000000" w:sz="4" w:space="0"/>
              <w:bottom w:val="single" w:color="000000" w:sz="4" w:space="0"/>
              <w:right w:val="single" w:color="000000" w:sz="4" w:space="0"/>
            </w:tcBorders>
            <w:shd w:val="clear"/>
            <w:vAlign w:val="center"/>
          </w:tcPr>
          <w:p w14:paraId="1CB2CD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评价细则：市、县老药工专家传承工作室建设数量达标得满分，若未达标，得分</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（实际值</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目标值）</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分值</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0A03CCD7">
            <w:pPr>
              <w:jc w:val="left"/>
              <w:rPr>
                <w:rFonts w:hint="default" w:ascii="Segoe UI" w:hAnsi="Segoe UI" w:eastAsia="Segoe UI" w:cs="Segoe UI"/>
                <w:i w:val="0"/>
                <w:iCs w:val="0"/>
                <w:color w:val="000000"/>
                <w:sz w:val="18"/>
                <w:szCs w:val="18"/>
                <w:u w:val="none"/>
              </w:rPr>
            </w:pPr>
          </w:p>
        </w:tc>
      </w:tr>
      <w:tr w14:paraId="74411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44CB9741">
            <w:pPr>
              <w:jc w:val="left"/>
              <w:rPr>
                <w:rFonts w:hint="eastAsia" w:ascii="宋体" w:hAnsi="宋体" w:eastAsia="宋体" w:cs="宋体"/>
                <w:i w:val="0"/>
                <w:iCs w:val="0"/>
                <w:color w:val="000000"/>
                <w:sz w:val="18"/>
                <w:szCs w:val="18"/>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20AAF467">
            <w:pPr>
              <w:jc w:val="left"/>
              <w:rPr>
                <w:rFonts w:hint="eastAsia" w:ascii="宋体" w:hAnsi="宋体" w:eastAsia="宋体" w:cs="宋体"/>
                <w:i w:val="0"/>
                <w:iCs w:val="0"/>
                <w:color w:val="000000"/>
                <w:sz w:val="18"/>
                <w:szCs w:val="18"/>
                <w:u w:val="none"/>
              </w:rPr>
            </w:pPr>
          </w:p>
        </w:tc>
        <w:tc>
          <w:tcPr>
            <w:tcW w:w="1881" w:type="pct"/>
            <w:tcBorders>
              <w:top w:val="single" w:color="000000" w:sz="4" w:space="0"/>
              <w:left w:val="single" w:color="000000" w:sz="4" w:space="0"/>
              <w:bottom w:val="single" w:color="000000" w:sz="4" w:space="0"/>
              <w:right w:val="single" w:color="000000" w:sz="4" w:space="0"/>
            </w:tcBorders>
            <w:shd w:val="clear"/>
            <w:noWrap/>
            <w:vAlign w:val="center"/>
          </w:tcPr>
          <w:p w14:paraId="353243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市县两级由党委政府主要负责同志担任中医药工作领导小组组长比例</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2D951E2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≥40%</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78E1603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0</w:t>
            </w:r>
          </w:p>
        </w:tc>
        <w:tc>
          <w:tcPr>
            <w:tcW w:w="136" w:type="pct"/>
            <w:tcBorders>
              <w:top w:val="single" w:color="000000" w:sz="4" w:space="0"/>
              <w:left w:val="single" w:color="000000" w:sz="4" w:space="0"/>
              <w:bottom w:val="single" w:color="000000" w:sz="4" w:space="0"/>
              <w:right w:val="single" w:color="000000" w:sz="4" w:space="0"/>
            </w:tcBorders>
            <w:shd w:val="clear"/>
            <w:noWrap/>
            <w:vAlign w:val="center"/>
          </w:tcPr>
          <w:p w14:paraId="57DEFA9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2</w:t>
            </w: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463A83D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0</w:t>
            </w:r>
          </w:p>
        </w:tc>
        <w:tc>
          <w:tcPr>
            <w:tcW w:w="991" w:type="pct"/>
            <w:tcBorders>
              <w:top w:val="single" w:color="000000" w:sz="4" w:space="0"/>
              <w:left w:val="single" w:color="000000" w:sz="4" w:space="0"/>
              <w:bottom w:val="single" w:color="000000" w:sz="4" w:space="0"/>
              <w:right w:val="single" w:color="000000" w:sz="4" w:space="0"/>
            </w:tcBorders>
            <w:shd w:val="clear"/>
            <w:vAlign w:val="center"/>
          </w:tcPr>
          <w:p w14:paraId="7CA8D8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上级部门已取消该指标的考核。</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080C36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上级部门已取消该指标的考核。</w:t>
            </w:r>
          </w:p>
        </w:tc>
      </w:tr>
      <w:tr w14:paraId="69CA1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1657AFC9">
            <w:pPr>
              <w:jc w:val="left"/>
              <w:rPr>
                <w:rFonts w:hint="eastAsia" w:ascii="宋体" w:hAnsi="宋体" w:eastAsia="宋体" w:cs="宋体"/>
                <w:i w:val="0"/>
                <w:iCs w:val="0"/>
                <w:color w:val="000000"/>
                <w:sz w:val="18"/>
                <w:szCs w:val="18"/>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213AD518">
            <w:pPr>
              <w:jc w:val="left"/>
              <w:rPr>
                <w:rFonts w:hint="eastAsia" w:ascii="宋体" w:hAnsi="宋体" w:eastAsia="宋体" w:cs="宋体"/>
                <w:i w:val="0"/>
                <w:iCs w:val="0"/>
                <w:color w:val="000000"/>
                <w:sz w:val="18"/>
                <w:szCs w:val="18"/>
                <w:u w:val="none"/>
              </w:rPr>
            </w:pPr>
          </w:p>
        </w:tc>
        <w:tc>
          <w:tcPr>
            <w:tcW w:w="1881" w:type="pct"/>
            <w:tcBorders>
              <w:top w:val="single" w:color="000000" w:sz="4" w:space="0"/>
              <w:left w:val="single" w:color="000000" w:sz="4" w:space="0"/>
              <w:bottom w:val="single" w:color="000000" w:sz="4" w:space="0"/>
              <w:right w:val="single" w:color="000000" w:sz="4" w:space="0"/>
            </w:tcBorders>
            <w:shd w:val="clear"/>
            <w:noWrap/>
            <w:vAlign w:val="center"/>
          </w:tcPr>
          <w:p w14:paraId="0D7418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每万人口中医类别全科医生</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012D1ED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≥0.77</w:t>
            </w:r>
            <w:r>
              <w:rPr>
                <w:rStyle w:val="15"/>
                <w:bdr w:val="none" w:color="auto" w:sz="0" w:space="0"/>
                <w:lang w:val="en-US" w:eastAsia="zh-CN" w:bidi="ar"/>
              </w:rPr>
              <w:t>人</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7C37D77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0.93</w:t>
            </w:r>
          </w:p>
        </w:tc>
        <w:tc>
          <w:tcPr>
            <w:tcW w:w="136" w:type="pct"/>
            <w:tcBorders>
              <w:top w:val="single" w:color="000000" w:sz="4" w:space="0"/>
              <w:left w:val="single" w:color="000000" w:sz="4" w:space="0"/>
              <w:bottom w:val="single" w:color="000000" w:sz="4" w:space="0"/>
              <w:right w:val="single" w:color="000000" w:sz="4" w:space="0"/>
            </w:tcBorders>
            <w:shd w:val="clear"/>
            <w:noWrap/>
            <w:vAlign w:val="center"/>
          </w:tcPr>
          <w:p w14:paraId="483FE35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2</w:t>
            </w: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38D1DFA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2</w:t>
            </w:r>
          </w:p>
        </w:tc>
        <w:tc>
          <w:tcPr>
            <w:tcW w:w="991" w:type="pct"/>
            <w:tcBorders>
              <w:top w:val="single" w:color="000000" w:sz="4" w:space="0"/>
              <w:left w:val="single" w:color="000000" w:sz="4" w:space="0"/>
              <w:bottom w:val="single" w:color="000000" w:sz="4" w:space="0"/>
              <w:right w:val="single" w:color="000000" w:sz="4" w:space="0"/>
            </w:tcBorders>
            <w:shd w:val="clear"/>
            <w:vAlign w:val="center"/>
          </w:tcPr>
          <w:p w14:paraId="373AF8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评价细则：每万人口中医类别全科医生值达标得满分，若未达标，得分</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（实际值</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目标值）</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分值</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425744B6">
            <w:pPr>
              <w:jc w:val="left"/>
              <w:rPr>
                <w:rFonts w:hint="default" w:ascii="Segoe UI" w:hAnsi="Segoe UI" w:eastAsia="Segoe UI" w:cs="Segoe UI"/>
                <w:i w:val="0"/>
                <w:iCs w:val="0"/>
                <w:color w:val="000000"/>
                <w:sz w:val="18"/>
                <w:szCs w:val="18"/>
                <w:u w:val="none"/>
              </w:rPr>
            </w:pPr>
          </w:p>
        </w:tc>
      </w:tr>
      <w:tr w14:paraId="631D5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6B19956D">
            <w:pPr>
              <w:jc w:val="left"/>
              <w:rPr>
                <w:rFonts w:hint="eastAsia" w:ascii="宋体" w:hAnsi="宋体" w:eastAsia="宋体" w:cs="宋体"/>
                <w:i w:val="0"/>
                <w:iCs w:val="0"/>
                <w:color w:val="000000"/>
                <w:sz w:val="18"/>
                <w:szCs w:val="18"/>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532A4FDA">
            <w:pPr>
              <w:jc w:val="left"/>
              <w:rPr>
                <w:rFonts w:hint="eastAsia" w:ascii="宋体" w:hAnsi="宋体" w:eastAsia="宋体" w:cs="宋体"/>
                <w:i w:val="0"/>
                <w:iCs w:val="0"/>
                <w:color w:val="000000"/>
                <w:sz w:val="18"/>
                <w:szCs w:val="18"/>
                <w:u w:val="none"/>
              </w:rPr>
            </w:pPr>
          </w:p>
        </w:tc>
        <w:tc>
          <w:tcPr>
            <w:tcW w:w="1881" w:type="pct"/>
            <w:tcBorders>
              <w:top w:val="single" w:color="000000" w:sz="4" w:space="0"/>
              <w:left w:val="single" w:color="000000" w:sz="4" w:space="0"/>
              <w:bottom w:val="single" w:color="000000" w:sz="4" w:space="0"/>
              <w:right w:val="single" w:color="000000" w:sz="4" w:space="0"/>
            </w:tcBorders>
            <w:shd w:val="clear"/>
            <w:noWrap/>
            <w:vAlign w:val="center"/>
          </w:tcPr>
          <w:p w14:paraId="6F8A49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县级名老中医专家传承工作室建设数量</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5F9E768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≥75</w:t>
            </w:r>
            <w:r>
              <w:rPr>
                <w:rStyle w:val="15"/>
                <w:bdr w:val="none" w:color="auto" w:sz="0" w:space="0"/>
                <w:lang w:val="en-US" w:eastAsia="zh-CN" w:bidi="ar"/>
              </w:rPr>
              <w:t>个</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38F655C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135</w:t>
            </w:r>
          </w:p>
        </w:tc>
        <w:tc>
          <w:tcPr>
            <w:tcW w:w="136" w:type="pct"/>
            <w:tcBorders>
              <w:top w:val="single" w:color="000000" w:sz="4" w:space="0"/>
              <w:left w:val="single" w:color="000000" w:sz="4" w:space="0"/>
              <w:bottom w:val="single" w:color="000000" w:sz="4" w:space="0"/>
              <w:right w:val="single" w:color="000000" w:sz="4" w:space="0"/>
            </w:tcBorders>
            <w:shd w:val="clear"/>
            <w:noWrap/>
            <w:vAlign w:val="center"/>
          </w:tcPr>
          <w:p w14:paraId="4294597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2</w:t>
            </w: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44D45D8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2</w:t>
            </w:r>
          </w:p>
        </w:tc>
        <w:tc>
          <w:tcPr>
            <w:tcW w:w="991" w:type="pct"/>
            <w:tcBorders>
              <w:top w:val="single" w:color="000000" w:sz="4" w:space="0"/>
              <w:left w:val="single" w:color="000000" w:sz="4" w:space="0"/>
              <w:bottom w:val="single" w:color="000000" w:sz="4" w:space="0"/>
              <w:right w:val="single" w:color="000000" w:sz="4" w:space="0"/>
            </w:tcBorders>
            <w:shd w:val="clear"/>
            <w:vAlign w:val="center"/>
          </w:tcPr>
          <w:p w14:paraId="70D26F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评价细则：县级名老中医专家传承工作室建设数量达标得满分，若未达标，得分</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（实际值</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目标值）</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分值</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4AB28DEC">
            <w:pPr>
              <w:jc w:val="left"/>
              <w:rPr>
                <w:rFonts w:hint="default" w:ascii="Segoe UI" w:hAnsi="Segoe UI" w:eastAsia="Segoe UI" w:cs="Segoe UI"/>
                <w:i w:val="0"/>
                <w:iCs w:val="0"/>
                <w:color w:val="000000"/>
                <w:sz w:val="18"/>
                <w:szCs w:val="18"/>
                <w:u w:val="none"/>
              </w:rPr>
            </w:pPr>
          </w:p>
        </w:tc>
      </w:tr>
      <w:tr w14:paraId="322EC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1720B215">
            <w:pPr>
              <w:jc w:val="left"/>
              <w:rPr>
                <w:rFonts w:hint="eastAsia" w:ascii="宋体" w:hAnsi="宋体" w:eastAsia="宋体" w:cs="宋体"/>
                <w:i w:val="0"/>
                <w:iCs w:val="0"/>
                <w:color w:val="000000"/>
                <w:sz w:val="18"/>
                <w:szCs w:val="18"/>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2FF0464C">
            <w:pPr>
              <w:jc w:val="left"/>
              <w:rPr>
                <w:rFonts w:hint="eastAsia" w:ascii="宋体" w:hAnsi="宋体" w:eastAsia="宋体" w:cs="宋体"/>
                <w:i w:val="0"/>
                <w:iCs w:val="0"/>
                <w:color w:val="000000"/>
                <w:sz w:val="18"/>
                <w:szCs w:val="18"/>
                <w:u w:val="none"/>
              </w:rPr>
            </w:pPr>
          </w:p>
        </w:tc>
        <w:tc>
          <w:tcPr>
            <w:tcW w:w="1881" w:type="pct"/>
            <w:tcBorders>
              <w:top w:val="single" w:color="000000" w:sz="4" w:space="0"/>
              <w:left w:val="single" w:color="000000" w:sz="4" w:space="0"/>
              <w:bottom w:val="single" w:color="000000" w:sz="4" w:space="0"/>
              <w:right w:val="single" w:color="000000" w:sz="4" w:space="0"/>
            </w:tcBorders>
            <w:shd w:val="clear"/>
            <w:noWrap/>
            <w:vAlign w:val="center"/>
          </w:tcPr>
          <w:p w14:paraId="2256A8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每千人口中医类别执业（助理）医师数</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557148F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≥0.73</w:t>
            </w:r>
            <w:r>
              <w:rPr>
                <w:rStyle w:val="15"/>
                <w:bdr w:val="none" w:color="auto" w:sz="0" w:space="0"/>
                <w:lang w:val="en-US" w:eastAsia="zh-CN" w:bidi="ar"/>
              </w:rPr>
              <w:t>人</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4A91776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0.87</w:t>
            </w:r>
          </w:p>
        </w:tc>
        <w:tc>
          <w:tcPr>
            <w:tcW w:w="136" w:type="pct"/>
            <w:tcBorders>
              <w:top w:val="single" w:color="000000" w:sz="4" w:space="0"/>
              <w:left w:val="single" w:color="000000" w:sz="4" w:space="0"/>
              <w:bottom w:val="single" w:color="000000" w:sz="4" w:space="0"/>
              <w:right w:val="single" w:color="000000" w:sz="4" w:space="0"/>
            </w:tcBorders>
            <w:shd w:val="clear"/>
            <w:noWrap/>
            <w:vAlign w:val="center"/>
          </w:tcPr>
          <w:p w14:paraId="4DBEEF6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2</w:t>
            </w: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7C7A6A8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2</w:t>
            </w:r>
          </w:p>
        </w:tc>
        <w:tc>
          <w:tcPr>
            <w:tcW w:w="991" w:type="pct"/>
            <w:tcBorders>
              <w:top w:val="single" w:color="000000" w:sz="4" w:space="0"/>
              <w:left w:val="single" w:color="000000" w:sz="4" w:space="0"/>
              <w:bottom w:val="single" w:color="000000" w:sz="4" w:space="0"/>
              <w:right w:val="single" w:color="000000" w:sz="4" w:space="0"/>
            </w:tcBorders>
            <w:shd w:val="clear"/>
            <w:vAlign w:val="center"/>
          </w:tcPr>
          <w:p w14:paraId="59D1F2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评价细则：每千人口中医类别执业（助理）医师数值达标得满分，若未达标，得分</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（实际值</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目标值）</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分值</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1BF5FC0E">
            <w:pPr>
              <w:jc w:val="left"/>
              <w:rPr>
                <w:rFonts w:hint="default" w:ascii="Segoe UI" w:hAnsi="Segoe UI" w:eastAsia="Segoe UI" w:cs="Segoe UI"/>
                <w:i w:val="0"/>
                <w:iCs w:val="0"/>
                <w:color w:val="000000"/>
                <w:sz w:val="18"/>
                <w:szCs w:val="18"/>
                <w:u w:val="none"/>
              </w:rPr>
            </w:pPr>
          </w:p>
        </w:tc>
      </w:tr>
      <w:tr w14:paraId="37C85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7E7E24C6">
            <w:pPr>
              <w:jc w:val="left"/>
              <w:rPr>
                <w:rFonts w:hint="eastAsia" w:ascii="宋体" w:hAnsi="宋体" w:eastAsia="宋体" w:cs="宋体"/>
                <w:i w:val="0"/>
                <w:iCs w:val="0"/>
                <w:color w:val="000000"/>
                <w:sz w:val="18"/>
                <w:szCs w:val="18"/>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1C8EA2">
            <w:pPr>
              <w:jc w:val="left"/>
              <w:rPr>
                <w:rFonts w:hint="eastAsia" w:ascii="宋体" w:hAnsi="宋体" w:eastAsia="宋体" w:cs="宋体"/>
                <w:i w:val="0"/>
                <w:iCs w:val="0"/>
                <w:color w:val="000000"/>
                <w:sz w:val="18"/>
                <w:szCs w:val="18"/>
                <w:u w:val="none"/>
              </w:rPr>
            </w:pPr>
          </w:p>
        </w:tc>
        <w:tc>
          <w:tcPr>
            <w:tcW w:w="1881" w:type="pct"/>
            <w:tcBorders>
              <w:top w:val="single" w:color="000000" w:sz="4" w:space="0"/>
              <w:left w:val="single" w:color="000000" w:sz="4" w:space="0"/>
              <w:bottom w:val="single" w:color="000000" w:sz="4" w:space="0"/>
              <w:right w:val="single" w:color="000000" w:sz="4" w:space="0"/>
            </w:tcBorders>
            <w:shd w:val="clear"/>
            <w:noWrap/>
            <w:vAlign w:val="center"/>
          </w:tcPr>
          <w:p w14:paraId="539254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市级名老中医专家传承工作室建设数量</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0497482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≥59</w:t>
            </w:r>
            <w:r>
              <w:rPr>
                <w:rStyle w:val="15"/>
                <w:bdr w:val="none" w:color="auto" w:sz="0" w:space="0"/>
                <w:lang w:val="en-US" w:eastAsia="zh-CN" w:bidi="ar"/>
              </w:rPr>
              <w:t>个</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57862B9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70</w:t>
            </w:r>
          </w:p>
        </w:tc>
        <w:tc>
          <w:tcPr>
            <w:tcW w:w="136" w:type="pct"/>
            <w:tcBorders>
              <w:top w:val="single" w:color="000000" w:sz="4" w:space="0"/>
              <w:left w:val="single" w:color="000000" w:sz="4" w:space="0"/>
              <w:bottom w:val="single" w:color="000000" w:sz="4" w:space="0"/>
              <w:right w:val="single" w:color="000000" w:sz="4" w:space="0"/>
            </w:tcBorders>
            <w:shd w:val="clear"/>
            <w:noWrap/>
            <w:vAlign w:val="center"/>
          </w:tcPr>
          <w:p w14:paraId="0C88738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1</w:t>
            </w: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5FDC685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1</w:t>
            </w:r>
          </w:p>
        </w:tc>
        <w:tc>
          <w:tcPr>
            <w:tcW w:w="991" w:type="pct"/>
            <w:tcBorders>
              <w:top w:val="single" w:color="000000" w:sz="4" w:space="0"/>
              <w:left w:val="single" w:color="000000" w:sz="4" w:space="0"/>
              <w:bottom w:val="single" w:color="000000" w:sz="4" w:space="0"/>
              <w:right w:val="single" w:color="000000" w:sz="4" w:space="0"/>
            </w:tcBorders>
            <w:shd w:val="clear"/>
            <w:vAlign w:val="center"/>
          </w:tcPr>
          <w:p w14:paraId="30BA69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评价细则：市级名老中医专家传承工作室建设数量达标得满分，若未达标，得分</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（实际值</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目标值）</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分值</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4910376A">
            <w:pPr>
              <w:jc w:val="left"/>
              <w:rPr>
                <w:rFonts w:hint="default" w:ascii="Segoe UI" w:hAnsi="Segoe UI" w:eastAsia="Segoe UI" w:cs="Segoe UI"/>
                <w:i w:val="0"/>
                <w:iCs w:val="0"/>
                <w:color w:val="000000"/>
                <w:sz w:val="18"/>
                <w:szCs w:val="18"/>
                <w:u w:val="none"/>
              </w:rPr>
            </w:pPr>
          </w:p>
        </w:tc>
      </w:tr>
      <w:tr w14:paraId="42195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7CFC1B0D">
            <w:pPr>
              <w:jc w:val="left"/>
              <w:rPr>
                <w:rFonts w:hint="eastAsia" w:ascii="宋体" w:hAnsi="宋体" w:eastAsia="宋体" w:cs="宋体"/>
                <w:i w:val="0"/>
                <w:iCs w:val="0"/>
                <w:color w:val="000000"/>
                <w:sz w:val="18"/>
                <w:szCs w:val="18"/>
                <w:u w:val="none"/>
              </w:rPr>
            </w:pPr>
          </w:p>
        </w:tc>
        <w:tc>
          <w:tcPr>
            <w:tcW w:w="349"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778E3A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1881" w:type="pct"/>
            <w:tcBorders>
              <w:top w:val="single" w:color="000000" w:sz="4" w:space="0"/>
              <w:left w:val="single" w:color="000000" w:sz="4" w:space="0"/>
              <w:bottom w:val="single" w:color="000000" w:sz="4" w:space="0"/>
              <w:right w:val="single" w:color="000000" w:sz="4" w:space="0"/>
            </w:tcBorders>
            <w:shd w:val="clear"/>
            <w:noWrap/>
            <w:vAlign w:val="center"/>
          </w:tcPr>
          <w:p w14:paraId="525BFE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至少配备</w:t>
            </w:r>
            <w:r>
              <w:rPr>
                <w:rFonts w:ascii="Segoe UI" w:hAnsi="Segoe UI" w:eastAsia="Segoe UI" w:cs="Segoe UI"/>
                <w:i w:val="0"/>
                <w:iCs w:val="0"/>
                <w:color w:val="000000"/>
                <w:kern w:val="0"/>
                <w:sz w:val="18"/>
                <w:szCs w:val="18"/>
                <w:u w:val="none"/>
                <w:bdr w:val="none" w:color="auto" w:sz="0" w:space="0"/>
                <w:lang w:val="en-US" w:eastAsia="zh-CN" w:bidi="ar"/>
              </w:rPr>
              <w:t>1</w:t>
            </w:r>
            <w:r>
              <w:rPr>
                <w:rStyle w:val="15"/>
                <w:bdr w:val="none" w:color="auto" w:sz="0" w:space="0"/>
                <w:lang w:val="en-US" w:eastAsia="zh-CN" w:bidi="ar"/>
              </w:rPr>
              <w:t>名能够提供中医药服务医务人员的社区卫生服务站、村卫生室占同类机构的比例</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3D6CB8E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100%</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32AACA3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100%</w:t>
            </w:r>
          </w:p>
        </w:tc>
        <w:tc>
          <w:tcPr>
            <w:tcW w:w="136" w:type="pct"/>
            <w:tcBorders>
              <w:top w:val="single" w:color="000000" w:sz="4" w:space="0"/>
              <w:left w:val="single" w:color="000000" w:sz="4" w:space="0"/>
              <w:bottom w:val="single" w:color="000000" w:sz="4" w:space="0"/>
              <w:right w:val="single" w:color="000000" w:sz="4" w:space="0"/>
            </w:tcBorders>
            <w:shd w:val="clear"/>
            <w:noWrap/>
            <w:vAlign w:val="center"/>
          </w:tcPr>
          <w:p w14:paraId="2C05D33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1</w:t>
            </w: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01AF10E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1</w:t>
            </w:r>
          </w:p>
        </w:tc>
        <w:tc>
          <w:tcPr>
            <w:tcW w:w="991" w:type="pct"/>
            <w:tcBorders>
              <w:top w:val="single" w:color="000000" w:sz="4" w:space="0"/>
              <w:left w:val="single" w:color="000000" w:sz="4" w:space="0"/>
              <w:bottom w:val="single" w:color="000000" w:sz="4" w:space="0"/>
              <w:right w:val="single" w:color="000000" w:sz="4" w:space="0"/>
            </w:tcBorders>
            <w:shd w:val="clear"/>
            <w:vAlign w:val="center"/>
          </w:tcPr>
          <w:p w14:paraId="54AA92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评价细则：至少配备</w:t>
            </w:r>
            <w:r>
              <w:rPr>
                <w:rFonts w:ascii="Segoe UI" w:hAnsi="Segoe UI" w:eastAsia="Segoe UI" w:cs="Segoe UI"/>
                <w:i w:val="0"/>
                <w:iCs w:val="0"/>
                <w:color w:val="000000"/>
                <w:kern w:val="0"/>
                <w:sz w:val="18"/>
                <w:szCs w:val="18"/>
                <w:u w:val="none"/>
                <w:bdr w:val="none" w:color="auto" w:sz="0" w:space="0"/>
                <w:lang w:val="en-US" w:eastAsia="zh-CN" w:bidi="ar"/>
              </w:rPr>
              <w:t>1</w:t>
            </w:r>
            <w:r>
              <w:rPr>
                <w:rStyle w:val="15"/>
                <w:bdr w:val="none" w:color="auto" w:sz="0" w:space="0"/>
                <w:lang w:val="en-US" w:eastAsia="zh-CN" w:bidi="ar"/>
              </w:rPr>
              <w:t>名能够提供中医药服务医务人员的社区卫生服务站、村卫生室占同类机构的比例达标得满分，若未达标，得分</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（实际值</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目标值）</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分值</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03B8CA2B">
            <w:pPr>
              <w:jc w:val="left"/>
              <w:rPr>
                <w:rFonts w:hint="default" w:ascii="Segoe UI" w:hAnsi="Segoe UI" w:eastAsia="Segoe UI" w:cs="Segoe UI"/>
                <w:i w:val="0"/>
                <w:iCs w:val="0"/>
                <w:color w:val="000000"/>
                <w:sz w:val="18"/>
                <w:szCs w:val="18"/>
                <w:u w:val="none"/>
              </w:rPr>
            </w:pPr>
          </w:p>
        </w:tc>
      </w:tr>
      <w:tr w14:paraId="2DFAF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CAE07C">
            <w:pPr>
              <w:jc w:val="left"/>
              <w:rPr>
                <w:rFonts w:hint="eastAsia" w:ascii="宋体" w:hAnsi="宋体" w:eastAsia="宋体" w:cs="宋体"/>
                <w:i w:val="0"/>
                <w:iCs w:val="0"/>
                <w:color w:val="000000"/>
                <w:sz w:val="18"/>
                <w:szCs w:val="18"/>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7CAB8540">
            <w:pPr>
              <w:jc w:val="left"/>
              <w:rPr>
                <w:rFonts w:hint="eastAsia" w:ascii="宋体" w:hAnsi="宋体" w:eastAsia="宋体" w:cs="宋体"/>
                <w:i w:val="0"/>
                <w:iCs w:val="0"/>
                <w:color w:val="000000"/>
                <w:sz w:val="18"/>
                <w:szCs w:val="18"/>
                <w:u w:val="none"/>
              </w:rPr>
            </w:pPr>
          </w:p>
        </w:tc>
        <w:tc>
          <w:tcPr>
            <w:tcW w:w="1881" w:type="pct"/>
            <w:tcBorders>
              <w:top w:val="single" w:color="000000" w:sz="4" w:space="0"/>
              <w:left w:val="single" w:color="000000" w:sz="4" w:space="0"/>
              <w:bottom w:val="single" w:color="000000" w:sz="4" w:space="0"/>
              <w:right w:val="single" w:color="000000" w:sz="4" w:space="0"/>
            </w:tcBorders>
            <w:shd w:val="clear"/>
            <w:noWrap/>
            <w:vAlign w:val="center"/>
          </w:tcPr>
          <w:p w14:paraId="5BC51B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二级以上公立中医医院处方总数中中药饮片处方所占比例</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2C04EB5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≥32%</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1F19DD5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0.353</w:t>
            </w:r>
          </w:p>
        </w:tc>
        <w:tc>
          <w:tcPr>
            <w:tcW w:w="136" w:type="pct"/>
            <w:tcBorders>
              <w:top w:val="single" w:color="000000" w:sz="4" w:space="0"/>
              <w:left w:val="single" w:color="000000" w:sz="4" w:space="0"/>
              <w:bottom w:val="single" w:color="000000" w:sz="4" w:space="0"/>
              <w:right w:val="single" w:color="000000" w:sz="4" w:space="0"/>
            </w:tcBorders>
            <w:shd w:val="clear"/>
            <w:noWrap/>
            <w:vAlign w:val="center"/>
          </w:tcPr>
          <w:p w14:paraId="60DFA06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1</w:t>
            </w: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52E3861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1</w:t>
            </w:r>
          </w:p>
        </w:tc>
        <w:tc>
          <w:tcPr>
            <w:tcW w:w="991" w:type="pct"/>
            <w:tcBorders>
              <w:top w:val="single" w:color="000000" w:sz="4" w:space="0"/>
              <w:left w:val="single" w:color="000000" w:sz="4" w:space="0"/>
              <w:bottom w:val="single" w:color="000000" w:sz="4" w:space="0"/>
              <w:right w:val="single" w:color="000000" w:sz="4" w:space="0"/>
            </w:tcBorders>
            <w:shd w:val="clear"/>
            <w:vAlign w:val="center"/>
          </w:tcPr>
          <w:p w14:paraId="7712CB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评价细则：二级以上公立中医医院处方总数中中药饮片处方所占比例达标得满分，若未达标，得分</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（实际值</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目标值）</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分值</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338AFA14">
            <w:pPr>
              <w:jc w:val="left"/>
              <w:rPr>
                <w:rFonts w:hint="default" w:ascii="Segoe UI" w:hAnsi="Segoe UI" w:eastAsia="Segoe UI" w:cs="Segoe UI"/>
                <w:i w:val="0"/>
                <w:iCs w:val="0"/>
                <w:color w:val="000000"/>
                <w:sz w:val="18"/>
                <w:szCs w:val="18"/>
                <w:u w:val="none"/>
              </w:rPr>
            </w:pPr>
          </w:p>
        </w:tc>
      </w:tr>
      <w:tr w14:paraId="00B48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38E69FD0">
            <w:pPr>
              <w:jc w:val="left"/>
              <w:rPr>
                <w:rFonts w:hint="eastAsia" w:ascii="宋体" w:hAnsi="宋体" w:eastAsia="宋体" w:cs="宋体"/>
                <w:i w:val="0"/>
                <w:iCs w:val="0"/>
                <w:color w:val="000000"/>
                <w:sz w:val="18"/>
                <w:szCs w:val="18"/>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02F87108">
            <w:pPr>
              <w:jc w:val="left"/>
              <w:rPr>
                <w:rFonts w:hint="eastAsia" w:ascii="宋体" w:hAnsi="宋体" w:eastAsia="宋体" w:cs="宋体"/>
                <w:i w:val="0"/>
                <w:iCs w:val="0"/>
                <w:color w:val="000000"/>
                <w:sz w:val="18"/>
                <w:szCs w:val="18"/>
                <w:u w:val="none"/>
              </w:rPr>
            </w:pPr>
          </w:p>
        </w:tc>
        <w:tc>
          <w:tcPr>
            <w:tcW w:w="1881" w:type="pct"/>
            <w:tcBorders>
              <w:top w:val="single" w:color="000000" w:sz="4" w:space="0"/>
              <w:left w:val="single" w:color="000000" w:sz="4" w:space="0"/>
              <w:bottom w:val="single" w:color="000000" w:sz="4" w:space="0"/>
              <w:right w:val="single" w:color="000000" w:sz="4" w:space="0"/>
            </w:tcBorders>
            <w:shd w:val="clear"/>
            <w:noWrap/>
            <w:vAlign w:val="center"/>
          </w:tcPr>
          <w:p w14:paraId="1C2BD2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二级以上公立中医医院执业（助理）医师中中医类别执业（助理）医师所占比例</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5BFE5D1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≥64%</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5D3EAE3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0.647</w:t>
            </w:r>
          </w:p>
        </w:tc>
        <w:tc>
          <w:tcPr>
            <w:tcW w:w="136" w:type="pct"/>
            <w:tcBorders>
              <w:top w:val="single" w:color="000000" w:sz="4" w:space="0"/>
              <w:left w:val="single" w:color="000000" w:sz="4" w:space="0"/>
              <w:bottom w:val="single" w:color="000000" w:sz="4" w:space="0"/>
              <w:right w:val="single" w:color="000000" w:sz="4" w:space="0"/>
            </w:tcBorders>
            <w:shd w:val="clear"/>
            <w:noWrap/>
            <w:vAlign w:val="center"/>
          </w:tcPr>
          <w:p w14:paraId="1A8FE7B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1</w:t>
            </w: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5E26768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1</w:t>
            </w:r>
          </w:p>
        </w:tc>
        <w:tc>
          <w:tcPr>
            <w:tcW w:w="991" w:type="pct"/>
            <w:tcBorders>
              <w:top w:val="single" w:color="000000" w:sz="4" w:space="0"/>
              <w:left w:val="single" w:color="000000" w:sz="4" w:space="0"/>
              <w:bottom w:val="single" w:color="000000" w:sz="4" w:space="0"/>
              <w:right w:val="single" w:color="000000" w:sz="4" w:space="0"/>
            </w:tcBorders>
            <w:shd w:val="clear"/>
            <w:vAlign w:val="center"/>
          </w:tcPr>
          <w:p w14:paraId="68AC0C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评价细则：二级以上公立中医医院执业（助理）医师中中医类别执业（助理）医师所占比例达标得满分，若未达标，得分</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（实际值</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目标值）</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分值</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652DDE32">
            <w:pPr>
              <w:jc w:val="left"/>
              <w:rPr>
                <w:rFonts w:hint="default" w:ascii="Segoe UI" w:hAnsi="Segoe UI" w:eastAsia="Segoe UI" w:cs="Segoe UI"/>
                <w:i w:val="0"/>
                <w:iCs w:val="0"/>
                <w:color w:val="000000"/>
                <w:sz w:val="18"/>
                <w:szCs w:val="18"/>
                <w:u w:val="none"/>
              </w:rPr>
            </w:pPr>
          </w:p>
        </w:tc>
      </w:tr>
      <w:tr w14:paraId="4A8AA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1C8E013F">
            <w:pPr>
              <w:jc w:val="left"/>
              <w:rPr>
                <w:rFonts w:hint="eastAsia" w:ascii="宋体" w:hAnsi="宋体" w:eastAsia="宋体" w:cs="宋体"/>
                <w:i w:val="0"/>
                <w:iCs w:val="0"/>
                <w:color w:val="000000"/>
                <w:sz w:val="18"/>
                <w:szCs w:val="18"/>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09D5190C">
            <w:pPr>
              <w:jc w:val="left"/>
              <w:rPr>
                <w:rFonts w:hint="eastAsia" w:ascii="宋体" w:hAnsi="宋体" w:eastAsia="宋体" w:cs="宋体"/>
                <w:i w:val="0"/>
                <w:iCs w:val="0"/>
                <w:color w:val="000000"/>
                <w:sz w:val="18"/>
                <w:szCs w:val="18"/>
                <w:u w:val="none"/>
              </w:rPr>
            </w:pPr>
          </w:p>
        </w:tc>
        <w:tc>
          <w:tcPr>
            <w:tcW w:w="1881" w:type="pct"/>
            <w:tcBorders>
              <w:top w:val="single" w:color="000000" w:sz="4" w:space="0"/>
              <w:left w:val="single" w:color="000000" w:sz="4" w:space="0"/>
              <w:bottom w:val="single" w:color="000000" w:sz="4" w:space="0"/>
              <w:right w:val="single" w:color="000000" w:sz="4" w:space="0"/>
            </w:tcBorders>
            <w:shd w:val="clear"/>
            <w:noWrap/>
            <w:vAlign w:val="center"/>
          </w:tcPr>
          <w:p w14:paraId="3C3E4C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智慧共享中药房覆盖的社区卫生服务中心、乡镇卫生院占同类机构的比例</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1C0DAE9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≥30%</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2A85D6C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0.3969</w:t>
            </w:r>
          </w:p>
        </w:tc>
        <w:tc>
          <w:tcPr>
            <w:tcW w:w="136" w:type="pct"/>
            <w:tcBorders>
              <w:top w:val="single" w:color="000000" w:sz="4" w:space="0"/>
              <w:left w:val="single" w:color="000000" w:sz="4" w:space="0"/>
              <w:bottom w:val="single" w:color="000000" w:sz="4" w:space="0"/>
              <w:right w:val="single" w:color="000000" w:sz="4" w:space="0"/>
            </w:tcBorders>
            <w:shd w:val="clear"/>
            <w:noWrap/>
            <w:vAlign w:val="center"/>
          </w:tcPr>
          <w:p w14:paraId="3918C5F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1</w:t>
            </w: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61317C9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1</w:t>
            </w:r>
          </w:p>
        </w:tc>
        <w:tc>
          <w:tcPr>
            <w:tcW w:w="991" w:type="pct"/>
            <w:tcBorders>
              <w:top w:val="single" w:color="000000" w:sz="4" w:space="0"/>
              <w:left w:val="single" w:color="000000" w:sz="4" w:space="0"/>
              <w:bottom w:val="single" w:color="000000" w:sz="4" w:space="0"/>
              <w:right w:val="single" w:color="000000" w:sz="4" w:space="0"/>
            </w:tcBorders>
            <w:shd w:val="clear"/>
            <w:vAlign w:val="center"/>
          </w:tcPr>
          <w:p w14:paraId="4F5EB4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评价细则：智慧共享中药房覆盖的社区卫生服务中心、乡镇卫生院占同类机构的比例达标得满分，若未达标，得分</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（实际值</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目标值）</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分值</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450C50CA">
            <w:pPr>
              <w:jc w:val="left"/>
              <w:rPr>
                <w:rFonts w:hint="default" w:ascii="Segoe UI" w:hAnsi="Segoe UI" w:eastAsia="Segoe UI" w:cs="Segoe UI"/>
                <w:i w:val="0"/>
                <w:iCs w:val="0"/>
                <w:color w:val="000000"/>
                <w:sz w:val="18"/>
                <w:szCs w:val="18"/>
                <w:u w:val="none"/>
              </w:rPr>
            </w:pPr>
          </w:p>
        </w:tc>
      </w:tr>
      <w:tr w14:paraId="055A6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1E3FE01B">
            <w:pPr>
              <w:jc w:val="left"/>
              <w:rPr>
                <w:rFonts w:hint="eastAsia" w:ascii="宋体" w:hAnsi="宋体" w:eastAsia="宋体" w:cs="宋体"/>
                <w:i w:val="0"/>
                <w:iCs w:val="0"/>
                <w:color w:val="000000"/>
                <w:sz w:val="18"/>
                <w:szCs w:val="18"/>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208F2D6E">
            <w:pPr>
              <w:jc w:val="left"/>
              <w:rPr>
                <w:rFonts w:hint="eastAsia" w:ascii="宋体" w:hAnsi="宋体" w:eastAsia="宋体" w:cs="宋体"/>
                <w:i w:val="0"/>
                <w:iCs w:val="0"/>
                <w:color w:val="000000"/>
                <w:sz w:val="18"/>
                <w:szCs w:val="18"/>
                <w:u w:val="none"/>
              </w:rPr>
            </w:pPr>
          </w:p>
        </w:tc>
        <w:tc>
          <w:tcPr>
            <w:tcW w:w="1881" w:type="pct"/>
            <w:tcBorders>
              <w:top w:val="single" w:color="000000" w:sz="4" w:space="0"/>
              <w:left w:val="single" w:color="000000" w:sz="4" w:space="0"/>
              <w:bottom w:val="single" w:color="000000" w:sz="4" w:space="0"/>
              <w:right w:val="single" w:color="000000" w:sz="4" w:space="0"/>
            </w:tcBorders>
            <w:shd w:val="clear"/>
            <w:noWrap/>
            <w:vAlign w:val="center"/>
          </w:tcPr>
          <w:p w14:paraId="7C3A7B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达到中医馆服务内涵建设标准（旗舰中医馆）的社区卫生服务中心、乡镇卫生院占同类机构的比例</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1C5AF9F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≥18%</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325CD4B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0.2672</w:t>
            </w:r>
          </w:p>
        </w:tc>
        <w:tc>
          <w:tcPr>
            <w:tcW w:w="136" w:type="pct"/>
            <w:tcBorders>
              <w:top w:val="single" w:color="000000" w:sz="4" w:space="0"/>
              <w:left w:val="single" w:color="000000" w:sz="4" w:space="0"/>
              <w:bottom w:val="single" w:color="000000" w:sz="4" w:space="0"/>
              <w:right w:val="single" w:color="000000" w:sz="4" w:space="0"/>
            </w:tcBorders>
            <w:shd w:val="clear"/>
            <w:noWrap/>
            <w:vAlign w:val="center"/>
          </w:tcPr>
          <w:p w14:paraId="1986EEA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1</w:t>
            </w: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3766659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1</w:t>
            </w:r>
          </w:p>
        </w:tc>
        <w:tc>
          <w:tcPr>
            <w:tcW w:w="991" w:type="pct"/>
            <w:tcBorders>
              <w:top w:val="single" w:color="000000" w:sz="4" w:space="0"/>
              <w:left w:val="single" w:color="000000" w:sz="4" w:space="0"/>
              <w:bottom w:val="single" w:color="000000" w:sz="4" w:space="0"/>
              <w:right w:val="single" w:color="000000" w:sz="4" w:space="0"/>
            </w:tcBorders>
            <w:shd w:val="clear"/>
            <w:vAlign w:val="center"/>
          </w:tcPr>
          <w:p w14:paraId="5B205E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评价细则：达到中医馆服务内涵建设标准（旗舰中医馆）的社区卫生服务中心、乡镇卫生院占同类机构的比例达标得满分，若未达标，得分</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（实际值</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目标值）</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分值</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0A2E8A6E">
            <w:pPr>
              <w:jc w:val="left"/>
              <w:rPr>
                <w:rFonts w:hint="default" w:ascii="Segoe UI" w:hAnsi="Segoe UI" w:eastAsia="Segoe UI" w:cs="Segoe UI"/>
                <w:i w:val="0"/>
                <w:iCs w:val="0"/>
                <w:color w:val="000000"/>
                <w:sz w:val="18"/>
                <w:szCs w:val="18"/>
                <w:u w:val="none"/>
              </w:rPr>
            </w:pPr>
          </w:p>
        </w:tc>
      </w:tr>
      <w:tr w14:paraId="1D0D0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45180702">
            <w:pPr>
              <w:jc w:val="left"/>
              <w:rPr>
                <w:rFonts w:hint="eastAsia" w:ascii="宋体" w:hAnsi="宋体" w:eastAsia="宋体" w:cs="宋体"/>
                <w:i w:val="0"/>
                <w:iCs w:val="0"/>
                <w:color w:val="000000"/>
                <w:sz w:val="18"/>
                <w:szCs w:val="18"/>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57E362E3">
            <w:pPr>
              <w:jc w:val="left"/>
              <w:rPr>
                <w:rFonts w:hint="eastAsia" w:ascii="宋体" w:hAnsi="宋体" w:eastAsia="宋体" w:cs="宋体"/>
                <w:i w:val="0"/>
                <w:iCs w:val="0"/>
                <w:color w:val="000000"/>
                <w:sz w:val="18"/>
                <w:szCs w:val="18"/>
                <w:u w:val="none"/>
              </w:rPr>
            </w:pPr>
          </w:p>
        </w:tc>
        <w:tc>
          <w:tcPr>
            <w:tcW w:w="1881" w:type="pct"/>
            <w:tcBorders>
              <w:top w:val="single" w:color="000000" w:sz="4" w:space="0"/>
              <w:left w:val="single" w:color="000000" w:sz="4" w:space="0"/>
              <w:bottom w:val="single" w:color="000000" w:sz="4" w:space="0"/>
              <w:right w:val="single" w:color="000000" w:sz="4" w:space="0"/>
            </w:tcBorders>
            <w:shd w:val="clear"/>
            <w:noWrap/>
            <w:vAlign w:val="center"/>
          </w:tcPr>
          <w:p w14:paraId="324F07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参与检查结果互认的二级以上公立中医医院占同类医院的比例</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3C8111A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100%</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384D5E9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100%</w:t>
            </w:r>
          </w:p>
        </w:tc>
        <w:tc>
          <w:tcPr>
            <w:tcW w:w="136" w:type="pct"/>
            <w:tcBorders>
              <w:top w:val="single" w:color="000000" w:sz="4" w:space="0"/>
              <w:left w:val="single" w:color="000000" w:sz="4" w:space="0"/>
              <w:bottom w:val="single" w:color="000000" w:sz="4" w:space="0"/>
              <w:right w:val="single" w:color="000000" w:sz="4" w:space="0"/>
            </w:tcBorders>
            <w:shd w:val="clear"/>
            <w:noWrap/>
            <w:vAlign w:val="center"/>
          </w:tcPr>
          <w:p w14:paraId="6AC58A3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1</w:t>
            </w: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6493940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1</w:t>
            </w:r>
          </w:p>
        </w:tc>
        <w:tc>
          <w:tcPr>
            <w:tcW w:w="991" w:type="pct"/>
            <w:tcBorders>
              <w:top w:val="single" w:color="000000" w:sz="4" w:space="0"/>
              <w:left w:val="single" w:color="000000" w:sz="4" w:space="0"/>
              <w:bottom w:val="single" w:color="000000" w:sz="4" w:space="0"/>
              <w:right w:val="single" w:color="000000" w:sz="4" w:space="0"/>
            </w:tcBorders>
            <w:shd w:val="clear"/>
            <w:vAlign w:val="center"/>
          </w:tcPr>
          <w:p w14:paraId="37F99F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评价细则：参与检查结果互认的二级以上公立中医医院占同类医院的比例达标得满分，若未达标，得分</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（实际值</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目标值）</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分值</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25029033">
            <w:pPr>
              <w:jc w:val="left"/>
              <w:rPr>
                <w:rFonts w:hint="default" w:ascii="Segoe UI" w:hAnsi="Segoe UI" w:eastAsia="Segoe UI" w:cs="Segoe UI"/>
                <w:i w:val="0"/>
                <w:iCs w:val="0"/>
                <w:color w:val="000000"/>
                <w:sz w:val="18"/>
                <w:szCs w:val="18"/>
                <w:u w:val="none"/>
              </w:rPr>
            </w:pPr>
          </w:p>
        </w:tc>
      </w:tr>
      <w:tr w14:paraId="2ADB8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25571F9B">
            <w:pPr>
              <w:jc w:val="left"/>
              <w:rPr>
                <w:rFonts w:hint="eastAsia" w:ascii="宋体" w:hAnsi="宋体" w:eastAsia="宋体" w:cs="宋体"/>
                <w:i w:val="0"/>
                <w:iCs w:val="0"/>
                <w:color w:val="000000"/>
                <w:sz w:val="18"/>
                <w:szCs w:val="18"/>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6D859B66">
            <w:pPr>
              <w:jc w:val="left"/>
              <w:rPr>
                <w:rFonts w:hint="eastAsia" w:ascii="宋体" w:hAnsi="宋体" w:eastAsia="宋体" w:cs="宋体"/>
                <w:i w:val="0"/>
                <w:iCs w:val="0"/>
                <w:color w:val="000000"/>
                <w:sz w:val="18"/>
                <w:szCs w:val="18"/>
                <w:u w:val="none"/>
              </w:rPr>
            </w:pPr>
          </w:p>
        </w:tc>
        <w:tc>
          <w:tcPr>
            <w:tcW w:w="1881" w:type="pct"/>
            <w:tcBorders>
              <w:top w:val="single" w:color="000000" w:sz="4" w:space="0"/>
              <w:left w:val="single" w:color="000000" w:sz="4" w:space="0"/>
              <w:bottom w:val="single" w:color="000000" w:sz="4" w:space="0"/>
              <w:right w:val="single" w:color="000000" w:sz="4" w:space="0"/>
            </w:tcBorders>
            <w:shd w:val="clear"/>
            <w:noWrap/>
            <w:vAlign w:val="center"/>
          </w:tcPr>
          <w:p w14:paraId="29EFC5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二级以上公立中医医院医疗收入中中医医疗服务项目收入所占比例</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37B59CD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≥10%</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554B663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0.111</w:t>
            </w:r>
          </w:p>
        </w:tc>
        <w:tc>
          <w:tcPr>
            <w:tcW w:w="136" w:type="pct"/>
            <w:tcBorders>
              <w:top w:val="single" w:color="000000" w:sz="4" w:space="0"/>
              <w:left w:val="single" w:color="000000" w:sz="4" w:space="0"/>
              <w:bottom w:val="single" w:color="000000" w:sz="4" w:space="0"/>
              <w:right w:val="single" w:color="000000" w:sz="4" w:space="0"/>
            </w:tcBorders>
            <w:shd w:val="clear"/>
            <w:noWrap/>
            <w:vAlign w:val="center"/>
          </w:tcPr>
          <w:p w14:paraId="0F80C70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1</w:t>
            </w: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30209E0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1</w:t>
            </w:r>
          </w:p>
        </w:tc>
        <w:tc>
          <w:tcPr>
            <w:tcW w:w="991" w:type="pct"/>
            <w:tcBorders>
              <w:top w:val="single" w:color="000000" w:sz="4" w:space="0"/>
              <w:left w:val="single" w:color="000000" w:sz="4" w:space="0"/>
              <w:bottom w:val="single" w:color="000000" w:sz="4" w:space="0"/>
              <w:right w:val="single" w:color="000000" w:sz="4" w:space="0"/>
            </w:tcBorders>
            <w:shd w:val="clear"/>
            <w:vAlign w:val="center"/>
          </w:tcPr>
          <w:p w14:paraId="35B295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评价细则：二级以上公立中医医院医疗收入中中医医疗服务项目收入所占比例达标得满分，若未达标，得分</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（实际值</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目标值）</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分值</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7F3C402F">
            <w:pPr>
              <w:jc w:val="left"/>
              <w:rPr>
                <w:rFonts w:hint="default" w:ascii="Segoe UI" w:hAnsi="Segoe UI" w:eastAsia="Segoe UI" w:cs="Segoe UI"/>
                <w:i w:val="0"/>
                <w:iCs w:val="0"/>
                <w:color w:val="000000"/>
                <w:sz w:val="18"/>
                <w:szCs w:val="18"/>
                <w:u w:val="none"/>
              </w:rPr>
            </w:pPr>
          </w:p>
        </w:tc>
      </w:tr>
      <w:tr w14:paraId="4C103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3A603328">
            <w:pPr>
              <w:jc w:val="left"/>
              <w:rPr>
                <w:rFonts w:hint="eastAsia" w:ascii="宋体" w:hAnsi="宋体" w:eastAsia="宋体" w:cs="宋体"/>
                <w:i w:val="0"/>
                <w:iCs w:val="0"/>
                <w:color w:val="000000"/>
                <w:sz w:val="18"/>
                <w:szCs w:val="18"/>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08EC2392">
            <w:pPr>
              <w:jc w:val="left"/>
              <w:rPr>
                <w:rFonts w:hint="eastAsia" w:ascii="宋体" w:hAnsi="宋体" w:eastAsia="宋体" w:cs="宋体"/>
                <w:i w:val="0"/>
                <w:iCs w:val="0"/>
                <w:color w:val="000000"/>
                <w:sz w:val="18"/>
                <w:szCs w:val="18"/>
                <w:u w:val="none"/>
              </w:rPr>
            </w:pPr>
          </w:p>
        </w:tc>
        <w:tc>
          <w:tcPr>
            <w:tcW w:w="1881" w:type="pct"/>
            <w:tcBorders>
              <w:top w:val="single" w:color="000000" w:sz="4" w:space="0"/>
              <w:left w:val="single" w:color="000000" w:sz="4" w:space="0"/>
              <w:bottom w:val="single" w:color="000000" w:sz="4" w:space="0"/>
              <w:right w:val="single" w:color="000000" w:sz="4" w:space="0"/>
            </w:tcBorders>
            <w:shd w:val="clear"/>
            <w:noWrap/>
            <w:vAlign w:val="center"/>
          </w:tcPr>
          <w:p w14:paraId="50C320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社区卫生服务中心和乡镇卫生院执业（助理）医师中中医类别执业（助理）医师所占比例</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57312E9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≥23%</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431B954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0.2563</w:t>
            </w:r>
          </w:p>
        </w:tc>
        <w:tc>
          <w:tcPr>
            <w:tcW w:w="136" w:type="pct"/>
            <w:tcBorders>
              <w:top w:val="single" w:color="000000" w:sz="4" w:space="0"/>
              <w:left w:val="single" w:color="000000" w:sz="4" w:space="0"/>
              <w:bottom w:val="single" w:color="000000" w:sz="4" w:space="0"/>
              <w:right w:val="single" w:color="000000" w:sz="4" w:space="0"/>
            </w:tcBorders>
            <w:shd w:val="clear"/>
            <w:noWrap/>
            <w:vAlign w:val="center"/>
          </w:tcPr>
          <w:p w14:paraId="361AF14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1</w:t>
            </w: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370FE93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1</w:t>
            </w:r>
          </w:p>
        </w:tc>
        <w:tc>
          <w:tcPr>
            <w:tcW w:w="991" w:type="pct"/>
            <w:tcBorders>
              <w:top w:val="single" w:color="000000" w:sz="4" w:space="0"/>
              <w:left w:val="single" w:color="000000" w:sz="4" w:space="0"/>
              <w:bottom w:val="single" w:color="000000" w:sz="4" w:space="0"/>
              <w:right w:val="single" w:color="000000" w:sz="4" w:space="0"/>
            </w:tcBorders>
            <w:shd w:val="clear"/>
            <w:vAlign w:val="center"/>
          </w:tcPr>
          <w:p w14:paraId="28F03C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评价细则：社区卫生服务中心和乡镇卫生院执业（助理）医师中中医类别执业（助理）医师所占比例达标得满分，若未达标，得分</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（实际值</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目标值）</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分值</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1EFE4886">
            <w:pPr>
              <w:jc w:val="left"/>
              <w:rPr>
                <w:rFonts w:hint="default" w:ascii="Segoe UI" w:hAnsi="Segoe UI" w:eastAsia="Segoe UI" w:cs="Segoe UI"/>
                <w:i w:val="0"/>
                <w:iCs w:val="0"/>
                <w:color w:val="000000"/>
                <w:sz w:val="18"/>
                <w:szCs w:val="18"/>
                <w:u w:val="none"/>
              </w:rPr>
            </w:pPr>
          </w:p>
        </w:tc>
      </w:tr>
      <w:tr w14:paraId="4CBD8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247BFDBC">
            <w:pPr>
              <w:jc w:val="left"/>
              <w:rPr>
                <w:rFonts w:hint="eastAsia" w:ascii="宋体" w:hAnsi="宋体" w:eastAsia="宋体" w:cs="宋体"/>
                <w:i w:val="0"/>
                <w:iCs w:val="0"/>
                <w:color w:val="000000"/>
                <w:sz w:val="18"/>
                <w:szCs w:val="18"/>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29BAB383">
            <w:pPr>
              <w:jc w:val="left"/>
              <w:rPr>
                <w:rFonts w:hint="eastAsia" w:ascii="宋体" w:hAnsi="宋体" w:eastAsia="宋体" w:cs="宋体"/>
                <w:i w:val="0"/>
                <w:iCs w:val="0"/>
                <w:color w:val="000000"/>
                <w:sz w:val="18"/>
                <w:szCs w:val="18"/>
                <w:u w:val="none"/>
              </w:rPr>
            </w:pPr>
          </w:p>
        </w:tc>
        <w:tc>
          <w:tcPr>
            <w:tcW w:w="1881" w:type="pct"/>
            <w:tcBorders>
              <w:top w:val="single" w:color="000000" w:sz="4" w:space="0"/>
              <w:left w:val="single" w:color="000000" w:sz="4" w:space="0"/>
              <w:bottom w:val="single" w:color="000000" w:sz="4" w:space="0"/>
              <w:right w:val="single" w:color="000000" w:sz="4" w:space="0"/>
            </w:tcBorders>
            <w:shd w:val="clear"/>
            <w:noWrap/>
            <w:vAlign w:val="center"/>
          </w:tcPr>
          <w:p w14:paraId="0F1BB4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设置中医临床科室的二级（含，下同）以上公立综合医院占同类医院的比例</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665531A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100%</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2A93F77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100%</w:t>
            </w:r>
          </w:p>
        </w:tc>
        <w:tc>
          <w:tcPr>
            <w:tcW w:w="136" w:type="pct"/>
            <w:tcBorders>
              <w:top w:val="single" w:color="000000" w:sz="4" w:space="0"/>
              <w:left w:val="single" w:color="000000" w:sz="4" w:space="0"/>
              <w:bottom w:val="single" w:color="000000" w:sz="4" w:space="0"/>
              <w:right w:val="single" w:color="000000" w:sz="4" w:space="0"/>
            </w:tcBorders>
            <w:shd w:val="clear"/>
            <w:noWrap/>
            <w:vAlign w:val="center"/>
          </w:tcPr>
          <w:p w14:paraId="753311A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1</w:t>
            </w: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30BB573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1</w:t>
            </w:r>
          </w:p>
        </w:tc>
        <w:tc>
          <w:tcPr>
            <w:tcW w:w="991" w:type="pct"/>
            <w:tcBorders>
              <w:top w:val="single" w:color="000000" w:sz="4" w:space="0"/>
              <w:left w:val="single" w:color="000000" w:sz="4" w:space="0"/>
              <w:bottom w:val="single" w:color="000000" w:sz="4" w:space="0"/>
              <w:right w:val="single" w:color="000000" w:sz="4" w:space="0"/>
            </w:tcBorders>
            <w:shd w:val="clear"/>
            <w:vAlign w:val="center"/>
          </w:tcPr>
          <w:p w14:paraId="09870B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评价细则：设置中医临床科室的二级（含，下同）以上公立综合医院占同类医院的比例达标得满分，若未达标，得分</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（实际值</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目标值）</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分值</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324264AB">
            <w:pPr>
              <w:jc w:val="left"/>
              <w:rPr>
                <w:rFonts w:hint="default" w:ascii="Segoe UI" w:hAnsi="Segoe UI" w:eastAsia="Segoe UI" w:cs="Segoe UI"/>
                <w:i w:val="0"/>
                <w:iCs w:val="0"/>
                <w:color w:val="000000"/>
                <w:sz w:val="18"/>
                <w:szCs w:val="18"/>
                <w:u w:val="none"/>
              </w:rPr>
            </w:pPr>
          </w:p>
        </w:tc>
      </w:tr>
      <w:tr w14:paraId="0EB8A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108AA72B">
            <w:pPr>
              <w:jc w:val="left"/>
              <w:rPr>
                <w:rFonts w:hint="eastAsia" w:ascii="宋体" w:hAnsi="宋体" w:eastAsia="宋体" w:cs="宋体"/>
                <w:i w:val="0"/>
                <w:iCs w:val="0"/>
                <w:color w:val="000000"/>
                <w:sz w:val="18"/>
                <w:szCs w:val="18"/>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36ED6FC8">
            <w:pPr>
              <w:jc w:val="left"/>
              <w:rPr>
                <w:rFonts w:hint="eastAsia" w:ascii="宋体" w:hAnsi="宋体" w:eastAsia="宋体" w:cs="宋体"/>
                <w:i w:val="0"/>
                <w:iCs w:val="0"/>
                <w:color w:val="000000"/>
                <w:sz w:val="18"/>
                <w:szCs w:val="18"/>
                <w:u w:val="none"/>
              </w:rPr>
            </w:pPr>
          </w:p>
        </w:tc>
        <w:tc>
          <w:tcPr>
            <w:tcW w:w="1881" w:type="pct"/>
            <w:tcBorders>
              <w:top w:val="single" w:color="000000" w:sz="4" w:space="0"/>
              <w:left w:val="single" w:color="000000" w:sz="4" w:space="0"/>
              <w:bottom w:val="single" w:color="000000" w:sz="4" w:space="0"/>
              <w:right w:val="single" w:color="000000" w:sz="4" w:space="0"/>
            </w:tcBorders>
            <w:shd w:val="clear"/>
            <w:noWrap/>
            <w:vAlign w:val="center"/>
          </w:tcPr>
          <w:p w14:paraId="26F2FC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二级以上公立综合医院执（助理）医师中中医类别执业（助理）医师所占比例</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76579EB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≥3.7%</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74A3533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0.0399</w:t>
            </w:r>
          </w:p>
        </w:tc>
        <w:tc>
          <w:tcPr>
            <w:tcW w:w="136" w:type="pct"/>
            <w:tcBorders>
              <w:top w:val="single" w:color="000000" w:sz="4" w:space="0"/>
              <w:left w:val="single" w:color="000000" w:sz="4" w:space="0"/>
              <w:bottom w:val="single" w:color="000000" w:sz="4" w:space="0"/>
              <w:right w:val="single" w:color="000000" w:sz="4" w:space="0"/>
            </w:tcBorders>
            <w:shd w:val="clear"/>
            <w:noWrap/>
            <w:vAlign w:val="center"/>
          </w:tcPr>
          <w:p w14:paraId="10A2265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1</w:t>
            </w: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09844BB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1</w:t>
            </w:r>
          </w:p>
        </w:tc>
        <w:tc>
          <w:tcPr>
            <w:tcW w:w="991" w:type="pct"/>
            <w:tcBorders>
              <w:top w:val="single" w:color="000000" w:sz="4" w:space="0"/>
              <w:left w:val="single" w:color="000000" w:sz="4" w:space="0"/>
              <w:bottom w:val="single" w:color="000000" w:sz="4" w:space="0"/>
              <w:right w:val="single" w:color="000000" w:sz="4" w:space="0"/>
            </w:tcBorders>
            <w:shd w:val="clear"/>
            <w:vAlign w:val="center"/>
          </w:tcPr>
          <w:p w14:paraId="5B72B3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评价细则：二级以上公立综合医院执（助理）医师中中医类别执业（助理）医师所占比例达标得满分，若未达标，得分</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（实际值</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目标值）</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分值</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2C189CCE">
            <w:pPr>
              <w:jc w:val="left"/>
              <w:rPr>
                <w:rFonts w:hint="default" w:ascii="Segoe UI" w:hAnsi="Segoe UI" w:eastAsia="Segoe UI" w:cs="Segoe UI"/>
                <w:i w:val="0"/>
                <w:iCs w:val="0"/>
                <w:color w:val="000000"/>
                <w:sz w:val="18"/>
                <w:szCs w:val="18"/>
                <w:u w:val="none"/>
              </w:rPr>
            </w:pPr>
          </w:p>
        </w:tc>
      </w:tr>
      <w:tr w14:paraId="481BF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536E44E7">
            <w:pPr>
              <w:jc w:val="left"/>
              <w:rPr>
                <w:rFonts w:hint="eastAsia" w:ascii="宋体" w:hAnsi="宋体" w:eastAsia="宋体" w:cs="宋体"/>
                <w:i w:val="0"/>
                <w:iCs w:val="0"/>
                <w:color w:val="000000"/>
                <w:sz w:val="18"/>
                <w:szCs w:val="18"/>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65215154">
            <w:pPr>
              <w:jc w:val="left"/>
              <w:rPr>
                <w:rFonts w:hint="eastAsia" w:ascii="宋体" w:hAnsi="宋体" w:eastAsia="宋体" w:cs="宋体"/>
                <w:i w:val="0"/>
                <w:iCs w:val="0"/>
                <w:color w:val="000000"/>
                <w:sz w:val="18"/>
                <w:szCs w:val="18"/>
                <w:u w:val="none"/>
              </w:rPr>
            </w:pPr>
          </w:p>
        </w:tc>
        <w:tc>
          <w:tcPr>
            <w:tcW w:w="1881" w:type="pct"/>
            <w:tcBorders>
              <w:top w:val="single" w:color="000000" w:sz="4" w:space="0"/>
              <w:left w:val="single" w:color="000000" w:sz="4" w:space="0"/>
              <w:bottom w:val="single" w:color="000000" w:sz="4" w:space="0"/>
              <w:right w:val="single" w:color="000000" w:sz="4" w:space="0"/>
            </w:tcBorders>
            <w:shd w:val="clear"/>
            <w:noWrap/>
            <w:vAlign w:val="center"/>
          </w:tcPr>
          <w:p w14:paraId="267B42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对口支援任务完成率</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1AFB19A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≥100%</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10339F0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100%</w:t>
            </w:r>
          </w:p>
        </w:tc>
        <w:tc>
          <w:tcPr>
            <w:tcW w:w="136" w:type="pct"/>
            <w:tcBorders>
              <w:top w:val="single" w:color="000000" w:sz="4" w:space="0"/>
              <w:left w:val="single" w:color="000000" w:sz="4" w:space="0"/>
              <w:bottom w:val="single" w:color="000000" w:sz="4" w:space="0"/>
              <w:right w:val="single" w:color="000000" w:sz="4" w:space="0"/>
            </w:tcBorders>
            <w:shd w:val="clear"/>
            <w:noWrap/>
            <w:vAlign w:val="center"/>
          </w:tcPr>
          <w:p w14:paraId="11ED0FD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1</w:t>
            </w: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05B0359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1</w:t>
            </w:r>
          </w:p>
        </w:tc>
        <w:tc>
          <w:tcPr>
            <w:tcW w:w="991" w:type="pct"/>
            <w:tcBorders>
              <w:top w:val="single" w:color="000000" w:sz="4" w:space="0"/>
              <w:left w:val="single" w:color="000000" w:sz="4" w:space="0"/>
              <w:bottom w:val="single" w:color="000000" w:sz="4" w:space="0"/>
              <w:right w:val="single" w:color="000000" w:sz="4" w:space="0"/>
            </w:tcBorders>
            <w:shd w:val="clear"/>
            <w:vAlign w:val="center"/>
          </w:tcPr>
          <w:p w14:paraId="69CD5D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评价要点：对口支援受援医疗机构医疗服务水平情况。评分规则：要点执行情况显著提高、提高、较好、未开展三档，按</w:t>
            </w:r>
            <w:r>
              <w:rPr>
                <w:rFonts w:ascii="Segoe UI" w:hAnsi="Segoe UI" w:eastAsia="Segoe UI" w:cs="Segoe UI"/>
                <w:i w:val="0"/>
                <w:iCs w:val="0"/>
                <w:color w:val="000000"/>
                <w:kern w:val="0"/>
                <w:sz w:val="18"/>
                <w:szCs w:val="18"/>
                <w:u w:val="none"/>
                <w:bdr w:val="none" w:color="auto" w:sz="0" w:space="0"/>
                <w:lang w:val="en-US" w:eastAsia="zh-CN" w:bidi="ar"/>
              </w:rPr>
              <w:t>100%-80%</w:t>
            </w:r>
            <w:r>
              <w:rPr>
                <w:rStyle w:val="15"/>
                <w:bdr w:val="none" w:color="auto" w:sz="0" w:space="0"/>
                <w:lang w:val="en-US" w:eastAsia="zh-CN" w:bidi="ar"/>
              </w:rPr>
              <w:t>（含）、</w:t>
            </w:r>
            <w:r>
              <w:rPr>
                <w:rFonts w:ascii="Segoe UI" w:hAnsi="Segoe UI" w:eastAsia="Segoe UI" w:cs="Segoe UI"/>
                <w:i w:val="0"/>
                <w:iCs w:val="0"/>
                <w:color w:val="000000"/>
                <w:kern w:val="0"/>
                <w:sz w:val="18"/>
                <w:szCs w:val="18"/>
                <w:u w:val="none"/>
                <w:bdr w:val="none" w:color="auto" w:sz="0" w:space="0"/>
                <w:lang w:val="en-US" w:eastAsia="zh-CN" w:bidi="ar"/>
              </w:rPr>
              <w:t>80%-60%</w:t>
            </w:r>
            <w:r>
              <w:rPr>
                <w:rStyle w:val="15"/>
                <w:bdr w:val="none" w:color="auto" w:sz="0" w:space="0"/>
                <w:lang w:val="en-US" w:eastAsia="zh-CN" w:bidi="ar"/>
              </w:rPr>
              <w:t>（含）、</w:t>
            </w:r>
            <w:r>
              <w:rPr>
                <w:rFonts w:ascii="Segoe UI" w:hAnsi="Segoe UI" w:eastAsia="Segoe UI" w:cs="Segoe UI"/>
                <w:i w:val="0"/>
                <w:iCs w:val="0"/>
                <w:color w:val="000000"/>
                <w:kern w:val="0"/>
                <w:sz w:val="18"/>
                <w:szCs w:val="18"/>
                <w:u w:val="none"/>
                <w:bdr w:val="none" w:color="auto" w:sz="0" w:space="0"/>
                <w:lang w:val="en-US" w:eastAsia="zh-CN" w:bidi="ar"/>
              </w:rPr>
              <w:t>60%-40%</w:t>
            </w:r>
            <w:r>
              <w:rPr>
                <w:rStyle w:val="15"/>
                <w:bdr w:val="none" w:color="auto" w:sz="0" w:space="0"/>
                <w:lang w:val="en-US" w:eastAsia="zh-CN" w:bidi="ar"/>
              </w:rPr>
              <w:t>、</w:t>
            </w:r>
            <w:r>
              <w:rPr>
                <w:rFonts w:ascii="Segoe UI" w:hAnsi="Segoe UI" w:eastAsia="Segoe UI" w:cs="Segoe UI"/>
                <w:i w:val="0"/>
                <w:iCs w:val="0"/>
                <w:color w:val="000000"/>
                <w:kern w:val="0"/>
                <w:sz w:val="18"/>
                <w:szCs w:val="18"/>
                <w:u w:val="none"/>
                <w:bdr w:val="none" w:color="auto" w:sz="0" w:space="0"/>
                <w:lang w:val="en-US" w:eastAsia="zh-CN" w:bidi="ar"/>
              </w:rPr>
              <w:t>40%-0%</w:t>
            </w:r>
            <w:r>
              <w:rPr>
                <w:rStyle w:val="15"/>
                <w:bdr w:val="none" w:color="auto" w:sz="0" w:space="0"/>
                <w:lang w:val="en-US" w:eastAsia="zh-CN" w:bidi="ar"/>
              </w:rPr>
              <w:t>评分。</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3721EBD7">
            <w:pPr>
              <w:jc w:val="left"/>
              <w:rPr>
                <w:rFonts w:hint="default" w:ascii="Segoe UI" w:hAnsi="Segoe UI" w:eastAsia="Segoe UI" w:cs="Segoe UI"/>
                <w:i w:val="0"/>
                <w:iCs w:val="0"/>
                <w:color w:val="000000"/>
                <w:sz w:val="18"/>
                <w:szCs w:val="18"/>
                <w:u w:val="none"/>
              </w:rPr>
            </w:pPr>
          </w:p>
        </w:tc>
      </w:tr>
      <w:tr w14:paraId="7D9B8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3D17F3F2">
            <w:pPr>
              <w:jc w:val="left"/>
              <w:rPr>
                <w:rFonts w:hint="eastAsia" w:ascii="宋体" w:hAnsi="宋体" w:eastAsia="宋体" w:cs="宋体"/>
                <w:i w:val="0"/>
                <w:iCs w:val="0"/>
                <w:color w:val="000000"/>
                <w:sz w:val="18"/>
                <w:szCs w:val="18"/>
                <w:u w:val="none"/>
              </w:rPr>
            </w:pPr>
          </w:p>
        </w:tc>
        <w:tc>
          <w:tcPr>
            <w:tcW w:w="349"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513D03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1881" w:type="pct"/>
            <w:tcBorders>
              <w:top w:val="single" w:color="000000" w:sz="4" w:space="0"/>
              <w:left w:val="single" w:color="000000" w:sz="4" w:space="0"/>
              <w:bottom w:val="single" w:color="000000" w:sz="4" w:space="0"/>
              <w:right w:val="single" w:color="000000" w:sz="4" w:space="0"/>
            </w:tcBorders>
            <w:shd w:val="clear"/>
            <w:noWrap/>
            <w:vAlign w:val="center"/>
          </w:tcPr>
          <w:p w14:paraId="46917B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实现收支平衡的二级以上公立中医医院占同类医院的比例</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18BFC61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≥27%</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627E10D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0.5455</w:t>
            </w:r>
          </w:p>
        </w:tc>
        <w:tc>
          <w:tcPr>
            <w:tcW w:w="136" w:type="pct"/>
            <w:tcBorders>
              <w:top w:val="single" w:color="000000" w:sz="4" w:space="0"/>
              <w:left w:val="single" w:color="000000" w:sz="4" w:space="0"/>
              <w:bottom w:val="single" w:color="000000" w:sz="4" w:space="0"/>
              <w:right w:val="single" w:color="000000" w:sz="4" w:space="0"/>
            </w:tcBorders>
            <w:shd w:val="clear"/>
            <w:noWrap/>
            <w:vAlign w:val="center"/>
          </w:tcPr>
          <w:p w14:paraId="32833C7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1</w:t>
            </w: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1C1A5D8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1</w:t>
            </w:r>
          </w:p>
        </w:tc>
        <w:tc>
          <w:tcPr>
            <w:tcW w:w="991" w:type="pct"/>
            <w:tcBorders>
              <w:top w:val="single" w:color="000000" w:sz="4" w:space="0"/>
              <w:left w:val="single" w:color="000000" w:sz="4" w:space="0"/>
              <w:bottom w:val="single" w:color="000000" w:sz="4" w:space="0"/>
              <w:right w:val="single" w:color="000000" w:sz="4" w:space="0"/>
            </w:tcBorders>
            <w:shd w:val="clear"/>
            <w:vAlign w:val="center"/>
          </w:tcPr>
          <w:p w14:paraId="53BEDB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评价细则：实现收支平衡的二级以上公立中医医院占同类医院的比例达标得满分，若未达标，得分</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（实际值</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目标值）</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分值</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0645A436">
            <w:pPr>
              <w:jc w:val="left"/>
              <w:rPr>
                <w:rFonts w:hint="default" w:ascii="Segoe UI" w:hAnsi="Segoe UI" w:eastAsia="Segoe UI" w:cs="Segoe UI"/>
                <w:i w:val="0"/>
                <w:iCs w:val="0"/>
                <w:color w:val="000000"/>
                <w:sz w:val="18"/>
                <w:szCs w:val="18"/>
                <w:u w:val="none"/>
              </w:rPr>
            </w:pPr>
          </w:p>
        </w:tc>
      </w:tr>
      <w:tr w14:paraId="745D6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3F2D8E88">
            <w:pPr>
              <w:jc w:val="left"/>
              <w:rPr>
                <w:rFonts w:hint="eastAsia" w:ascii="宋体" w:hAnsi="宋体" w:eastAsia="宋体" w:cs="宋体"/>
                <w:i w:val="0"/>
                <w:iCs w:val="0"/>
                <w:color w:val="000000"/>
                <w:sz w:val="18"/>
                <w:szCs w:val="18"/>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66045499">
            <w:pPr>
              <w:jc w:val="left"/>
              <w:rPr>
                <w:rFonts w:hint="eastAsia" w:ascii="宋体" w:hAnsi="宋体" w:eastAsia="宋体" w:cs="宋体"/>
                <w:i w:val="0"/>
                <w:iCs w:val="0"/>
                <w:color w:val="000000"/>
                <w:sz w:val="18"/>
                <w:szCs w:val="18"/>
                <w:u w:val="none"/>
              </w:rPr>
            </w:pPr>
          </w:p>
        </w:tc>
        <w:tc>
          <w:tcPr>
            <w:tcW w:w="1881" w:type="pct"/>
            <w:tcBorders>
              <w:top w:val="single" w:color="000000" w:sz="4" w:space="0"/>
              <w:left w:val="single" w:color="000000" w:sz="4" w:space="0"/>
              <w:bottom w:val="single" w:color="000000" w:sz="4" w:space="0"/>
              <w:right w:val="single" w:color="000000" w:sz="4" w:space="0"/>
            </w:tcBorders>
            <w:shd w:val="clear"/>
            <w:noWrap/>
            <w:vAlign w:val="center"/>
          </w:tcPr>
          <w:p w14:paraId="371B38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二级以上公立中医医院门诊次均费用</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276975D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≤470</w:t>
            </w:r>
            <w:r>
              <w:rPr>
                <w:rStyle w:val="15"/>
                <w:bdr w:val="none" w:color="auto" w:sz="0" w:space="0"/>
                <w:lang w:val="en-US" w:eastAsia="zh-CN" w:bidi="ar"/>
              </w:rPr>
              <w:t>元</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414CB75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445.7</w:t>
            </w:r>
          </w:p>
        </w:tc>
        <w:tc>
          <w:tcPr>
            <w:tcW w:w="136" w:type="pct"/>
            <w:tcBorders>
              <w:top w:val="single" w:color="000000" w:sz="4" w:space="0"/>
              <w:left w:val="single" w:color="000000" w:sz="4" w:space="0"/>
              <w:bottom w:val="single" w:color="000000" w:sz="4" w:space="0"/>
              <w:right w:val="single" w:color="000000" w:sz="4" w:space="0"/>
            </w:tcBorders>
            <w:shd w:val="clear"/>
            <w:noWrap/>
            <w:vAlign w:val="center"/>
          </w:tcPr>
          <w:p w14:paraId="247C160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1</w:t>
            </w: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63F39B7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1</w:t>
            </w:r>
          </w:p>
        </w:tc>
        <w:tc>
          <w:tcPr>
            <w:tcW w:w="991" w:type="pct"/>
            <w:tcBorders>
              <w:top w:val="single" w:color="000000" w:sz="4" w:space="0"/>
              <w:left w:val="single" w:color="000000" w:sz="4" w:space="0"/>
              <w:bottom w:val="single" w:color="000000" w:sz="4" w:space="0"/>
              <w:right w:val="single" w:color="000000" w:sz="4" w:space="0"/>
            </w:tcBorders>
            <w:shd w:val="clear"/>
            <w:vAlign w:val="center"/>
          </w:tcPr>
          <w:p w14:paraId="66F6CC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评价细则：二级以上公立中医医院门诊次均费用达标得满分，若未达标，得分</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（实际值</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目标值）</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分值</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77D1EB5E">
            <w:pPr>
              <w:jc w:val="left"/>
              <w:rPr>
                <w:rFonts w:hint="default" w:ascii="Segoe UI" w:hAnsi="Segoe UI" w:eastAsia="Segoe UI" w:cs="Segoe UI"/>
                <w:i w:val="0"/>
                <w:iCs w:val="0"/>
                <w:color w:val="000000"/>
                <w:sz w:val="18"/>
                <w:szCs w:val="18"/>
                <w:u w:val="none"/>
              </w:rPr>
            </w:pPr>
          </w:p>
        </w:tc>
      </w:tr>
      <w:tr w14:paraId="12B77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07668553">
            <w:pPr>
              <w:jc w:val="left"/>
              <w:rPr>
                <w:rFonts w:hint="eastAsia" w:ascii="宋体" w:hAnsi="宋体" w:eastAsia="宋体" w:cs="宋体"/>
                <w:i w:val="0"/>
                <w:iCs w:val="0"/>
                <w:color w:val="000000"/>
                <w:sz w:val="18"/>
                <w:szCs w:val="18"/>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50F42C62">
            <w:pPr>
              <w:jc w:val="left"/>
              <w:rPr>
                <w:rFonts w:hint="eastAsia" w:ascii="宋体" w:hAnsi="宋体" w:eastAsia="宋体" w:cs="宋体"/>
                <w:i w:val="0"/>
                <w:iCs w:val="0"/>
                <w:color w:val="000000"/>
                <w:sz w:val="18"/>
                <w:szCs w:val="18"/>
                <w:u w:val="none"/>
              </w:rPr>
            </w:pPr>
          </w:p>
        </w:tc>
        <w:tc>
          <w:tcPr>
            <w:tcW w:w="1881" w:type="pct"/>
            <w:tcBorders>
              <w:top w:val="single" w:color="000000" w:sz="4" w:space="0"/>
              <w:left w:val="single" w:color="000000" w:sz="4" w:space="0"/>
              <w:bottom w:val="single" w:color="000000" w:sz="4" w:space="0"/>
              <w:right w:val="single" w:color="000000" w:sz="4" w:space="0"/>
            </w:tcBorders>
            <w:shd w:val="clear"/>
            <w:noWrap/>
            <w:vAlign w:val="center"/>
          </w:tcPr>
          <w:p w14:paraId="4E8ECA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公立中医医院总费用中管理费用所占比例</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45F923C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≤10%</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57A9303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0.0958</w:t>
            </w:r>
          </w:p>
        </w:tc>
        <w:tc>
          <w:tcPr>
            <w:tcW w:w="136" w:type="pct"/>
            <w:tcBorders>
              <w:top w:val="single" w:color="000000" w:sz="4" w:space="0"/>
              <w:left w:val="single" w:color="000000" w:sz="4" w:space="0"/>
              <w:bottom w:val="single" w:color="000000" w:sz="4" w:space="0"/>
              <w:right w:val="single" w:color="000000" w:sz="4" w:space="0"/>
            </w:tcBorders>
            <w:shd w:val="clear"/>
            <w:noWrap/>
            <w:vAlign w:val="center"/>
          </w:tcPr>
          <w:p w14:paraId="49CC78D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1</w:t>
            </w: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7529134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1</w:t>
            </w:r>
          </w:p>
        </w:tc>
        <w:tc>
          <w:tcPr>
            <w:tcW w:w="991" w:type="pct"/>
            <w:tcBorders>
              <w:top w:val="single" w:color="000000" w:sz="4" w:space="0"/>
              <w:left w:val="single" w:color="000000" w:sz="4" w:space="0"/>
              <w:bottom w:val="single" w:color="000000" w:sz="4" w:space="0"/>
              <w:right w:val="single" w:color="000000" w:sz="4" w:space="0"/>
            </w:tcBorders>
            <w:shd w:val="clear"/>
            <w:vAlign w:val="center"/>
          </w:tcPr>
          <w:p w14:paraId="1C8E33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评价细则：公立中医医院总费用中管理费用所占比例达标得满分，若未达标，得分</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（实际值</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目标值）</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分值</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0E6CD8C2">
            <w:pPr>
              <w:jc w:val="left"/>
              <w:rPr>
                <w:rFonts w:hint="default" w:ascii="Segoe UI" w:hAnsi="Segoe UI" w:eastAsia="Segoe UI" w:cs="Segoe UI"/>
                <w:i w:val="0"/>
                <w:iCs w:val="0"/>
                <w:color w:val="000000"/>
                <w:sz w:val="18"/>
                <w:szCs w:val="18"/>
                <w:u w:val="none"/>
              </w:rPr>
            </w:pPr>
          </w:p>
        </w:tc>
      </w:tr>
      <w:tr w14:paraId="1D141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5348E24A">
            <w:pPr>
              <w:jc w:val="left"/>
              <w:rPr>
                <w:rFonts w:hint="eastAsia" w:ascii="宋体" w:hAnsi="宋体" w:eastAsia="宋体" w:cs="宋体"/>
                <w:i w:val="0"/>
                <w:iCs w:val="0"/>
                <w:color w:val="000000"/>
                <w:sz w:val="18"/>
                <w:szCs w:val="18"/>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0166FB3E">
            <w:pPr>
              <w:jc w:val="left"/>
              <w:rPr>
                <w:rFonts w:hint="eastAsia" w:ascii="宋体" w:hAnsi="宋体" w:eastAsia="宋体" w:cs="宋体"/>
                <w:i w:val="0"/>
                <w:iCs w:val="0"/>
                <w:color w:val="000000"/>
                <w:sz w:val="18"/>
                <w:szCs w:val="18"/>
                <w:u w:val="none"/>
              </w:rPr>
            </w:pPr>
          </w:p>
        </w:tc>
        <w:tc>
          <w:tcPr>
            <w:tcW w:w="1881" w:type="pct"/>
            <w:tcBorders>
              <w:top w:val="single" w:color="000000" w:sz="4" w:space="0"/>
              <w:left w:val="single" w:color="000000" w:sz="4" w:space="0"/>
              <w:bottom w:val="single" w:color="000000" w:sz="4" w:space="0"/>
              <w:right w:val="single" w:color="000000" w:sz="4" w:space="0"/>
            </w:tcBorders>
            <w:shd w:val="clear"/>
            <w:noWrap/>
            <w:vAlign w:val="center"/>
          </w:tcPr>
          <w:p w14:paraId="3AAC6E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二级以上公立中医医院住院次均费用</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6AAF49D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≤14000</w:t>
            </w:r>
            <w:r>
              <w:rPr>
                <w:rStyle w:val="15"/>
                <w:bdr w:val="none" w:color="auto" w:sz="0" w:space="0"/>
                <w:lang w:val="en-US" w:eastAsia="zh-CN" w:bidi="ar"/>
              </w:rPr>
              <w:t>元</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45CFCCE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12073.8</w:t>
            </w:r>
          </w:p>
        </w:tc>
        <w:tc>
          <w:tcPr>
            <w:tcW w:w="136" w:type="pct"/>
            <w:tcBorders>
              <w:top w:val="single" w:color="000000" w:sz="4" w:space="0"/>
              <w:left w:val="single" w:color="000000" w:sz="4" w:space="0"/>
              <w:bottom w:val="single" w:color="000000" w:sz="4" w:space="0"/>
              <w:right w:val="single" w:color="000000" w:sz="4" w:space="0"/>
            </w:tcBorders>
            <w:shd w:val="clear"/>
            <w:noWrap/>
            <w:vAlign w:val="center"/>
          </w:tcPr>
          <w:p w14:paraId="087AFF6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1</w:t>
            </w: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0A56242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1</w:t>
            </w:r>
          </w:p>
        </w:tc>
        <w:tc>
          <w:tcPr>
            <w:tcW w:w="991" w:type="pct"/>
            <w:tcBorders>
              <w:top w:val="single" w:color="000000" w:sz="4" w:space="0"/>
              <w:left w:val="single" w:color="000000" w:sz="4" w:space="0"/>
              <w:bottom w:val="single" w:color="000000" w:sz="4" w:space="0"/>
              <w:right w:val="single" w:color="000000" w:sz="4" w:space="0"/>
            </w:tcBorders>
            <w:shd w:val="clear"/>
            <w:vAlign w:val="center"/>
          </w:tcPr>
          <w:p w14:paraId="4E0FE4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评价细则：二级以上公立中医医院住院次均费用达标得满分，若未达标，得分</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（实际值</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目标值）</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分值</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37800666">
            <w:pPr>
              <w:jc w:val="left"/>
              <w:rPr>
                <w:rFonts w:hint="default" w:ascii="Segoe UI" w:hAnsi="Segoe UI" w:eastAsia="Segoe UI" w:cs="Segoe UI"/>
                <w:i w:val="0"/>
                <w:iCs w:val="0"/>
                <w:color w:val="000000"/>
                <w:sz w:val="18"/>
                <w:szCs w:val="18"/>
                <w:u w:val="none"/>
              </w:rPr>
            </w:pPr>
          </w:p>
        </w:tc>
      </w:tr>
      <w:tr w14:paraId="6EF0A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35"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53A51D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r>
              <w:rPr>
                <w:rFonts w:ascii="Segoe UI" w:hAnsi="Segoe UI" w:eastAsia="Segoe UI" w:cs="Segoe UI"/>
                <w:i w:val="0"/>
                <w:iCs w:val="0"/>
                <w:color w:val="000000"/>
                <w:kern w:val="0"/>
                <w:sz w:val="18"/>
                <w:szCs w:val="18"/>
                <w:u w:val="none"/>
                <w:bdr w:val="none" w:color="auto" w:sz="0" w:space="0"/>
                <w:lang w:val="en-US" w:eastAsia="zh-CN" w:bidi="ar"/>
              </w:rPr>
              <w:t>(30)</w:t>
            </w:r>
          </w:p>
        </w:tc>
        <w:tc>
          <w:tcPr>
            <w:tcW w:w="349"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6E0E32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经济效益</w:t>
            </w:r>
          </w:p>
        </w:tc>
        <w:tc>
          <w:tcPr>
            <w:tcW w:w="1881" w:type="pct"/>
            <w:tcBorders>
              <w:top w:val="single" w:color="000000" w:sz="4" w:space="0"/>
              <w:left w:val="single" w:color="000000" w:sz="4" w:space="0"/>
              <w:bottom w:val="single" w:color="000000" w:sz="4" w:space="0"/>
              <w:right w:val="single" w:color="000000" w:sz="4" w:space="0"/>
            </w:tcBorders>
            <w:shd w:val="clear"/>
            <w:noWrap/>
            <w:vAlign w:val="center"/>
          </w:tcPr>
          <w:p w14:paraId="0565C7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地方财政中医药投入总额</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104E803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≥10.6</w:t>
            </w:r>
            <w:r>
              <w:rPr>
                <w:rStyle w:val="15"/>
                <w:bdr w:val="none" w:color="auto" w:sz="0" w:space="0"/>
                <w:lang w:val="en-US" w:eastAsia="zh-CN" w:bidi="ar"/>
              </w:rPr>
              <w:t>亿元</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0D11F30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12.2</w:t>
            </w:r>
          </w:p>
        </w:tc>
        <w:tc>
          <w:tcPr>
            <w:tcW w:w="136" w:type="pct"/>
            <w:tcBorders>
              <w:top w:val="single" w:color="000000" w:sz="4" w:space="0"/>
              <w:left w:val="single" w:color="000000" w:sz="4" w:space="0"/>
              <w:bottom w:val="single" w:color="000000" w:sz="4" w:space="0"/>
              <w:right w:val="single" w:color="000000" w:sz="4" w:space="0"/>
            </w:tcBorders>
            <w:shd w:val="clear"/>
            <w:noWrap/>
            <w:vAlign w:val="center"/>
          </w:tcPr>
          <w:p w14:paraId="58DA76F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3</w:t>
            </w: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6468B8C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3</w:t>
            </w:r>
          </w:p>
        </w:tc>
        <w:tc>
          <w:tcPr>
            <w:tcW w:w="991" w:type="pct"/>
            <w:tcBorders>
              <w:top w:val="single" w:color="000000" w:sz="4" w:space="0"/>
              <w:left w:val="single" w:color="000000" w:sz="4" w:space="0"/>
              <w:bottom w:val="single" w:color="000000" w:sz="4" w:space="0"/>
              <w:right w:val="single" w:color="000000" w:sz="4" w:space="0"/>
            </w:tcBorders>
            <w:shd w:val="clear"/>
            <w:vAlign w:val="center"/>
          </w:tcPr>
          <w:p w14:paraId="389FEE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评价细则：地方财政中医药投入总额达标得满分，若未达标，得分</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（实际值</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目标值）</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分值</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0F88A154">
            <w:pPr>
              <w:jc w:val="left"/>
              <w:rPr>
                <w:rFonts w:hint="default" w:ascii="Segoe UI" w:hAnsi="Segoe UI" w:eastAsia="Segoe UI" w:cs="Segoe UI"/>
                <w:i w:val="0"/>
                <w:iCs w:val="0"/>
                <w:color w:val="000000"/>
                <w:sz w:val="18"/>
                <w:szCs w:val="18"/>
                <w:u w:val="none"/>
              </w:rPr>
            </w:pPr>
          </w:p>
        </w:tc>
      </w:tr>
      <w:tr w14:paraId="56A5E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0239F1E4">
            <w:pPr>
              <w:jc w:val="left"/>
              <w:rPr>
                <w:rFonts w:hint="eastAsia" w:ascii="宋体" w:hAnsi="宋体" w:eastAsia="宋体" w:cs="宋体"/>
                <w:i w:val="0"/>
                <w:iCs w:val="0"/>
                <w:color w:val="000000"/>
                <w:sz w:val="18"/>
                <w:szCs w:val="18"/>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583D7D3C">
            <w:pPr>
              <w:jc w:val="left"/>
              <w:rPr>
                <w:rFonts w:hint="eastAsia" w:ascii="宋体" w:hAnsi="宋体" w:eastAsia="宋体" w:cs="宋体"/>
                <w:i w:val="0"/>
                <w:iCs w:val="0"/>
                <w:color w:val="000000"/>
                <w:sz w:val="18"/>
                <w:szCs w:val="18"/>
                <w:u w:val="none"/>
              </w:rPr>
            </w:pPr>
          </w:p>
        </w:tc>
        <w:tc>
          <w:tcPr>
            <w:tcW w:w="1881" w:type="pct"/>
            <w:tcBorders>
              <w:top w:val="single" w:color="000000" w:sz="4" w:space="0"/>
              <w:left w:val="single" w:color="000000" w:sz="4" w:space="0"/>
              <w:bottom w:val="single" w:color="000000" w:sz="4" w:space="0"/>
              <w:right w:val="single" w:color="000000" w:sz="4" w:space="0"/>
            </w:tcBorders>
            <w:shd w:val="clear"/>
            <w:noWrap/>
            <w:vAlign w:val="center"/>
          </w:tcPr>
          <w:p w14:paraId="69FD46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规范实施全面预算管理的公立中医医院占全部公立中医医院的比例</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043E43F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≥72</w:t>
            </w:r>
            <w:r>
              <w:rPr>
                <w:rStyle w:val="15"/>
                <w:bdr w:val="none" w:color="auto" w:sz="0" w:space="0"/>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7E225B3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1</w:t>
            </w:r>
          </w:p>
        </w:tc>
        <w:tc>
          <w:tcPr>
            <w:tcW w:w="136" w:type="pct"/>
            <w:tcBorders>
              <w:top w:val="single" w:color="000000" w:sz="4" w:space="0"/>
              <w:left w:val="single" w:color="000000" w:sz="4" w:space="0"/>
              <w:bottom w:val="single" w:color="000000" w:sz="4" w:space="0"/>
              <w:right w:val="single" w:color="000000" w:sz="4" w:space="0"/>
            </w:tcBorders>
            <w:shd w:val="clear"/>
            <w:noWrap/>
            <w:vAlign w:val="center"/>
          </w:tcPr>
          <w:p w14:paraId="684A2EB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3</w:t>
            </w: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5DCCF42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3</w:t>
            </w:r>
          </w:p>
        </w:tc>
        <w:tc>
          <w:tcPr>
            <w:tcW w:w="991" w:type="pct"/>
            <w:tcBorders>
              <w:top w:val="single" w:color="000000" w:sz="4" w:space="0"/>
              <w:left w:val="single" w:color="000000" w:sz="4" w:space="0"/>
              <w:bottom w:val="single" w:color="000000" w:sz="4" w:space="0"/>
              <w:right w:val="single" w:color="000000" w:sz="4" w:space="0"/>
            </w:tcBorders>
            <w:shd w:val="clear"/>
            <w:vAlign w:val="center"/>
          </w:tcPr>
          <w:p w14:paraId="53C1D8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评价细则：规范实施全面预算管理的公立中医医院占全部公立中医医院的比例达标得满分，若未达标，得分</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（实际值</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目标值）</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分值</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7B270AB3">
            <w:pPr>
              <w:jc w:val="left"/>
              <w:rPr>
                <w:rFonts w:hint="default" w:ascii="Segoe UI" w:hAnsi="Segoe UI" w:eastAsia="Segoe UI" w:cs="Segoe UI"/>
                <w:i w:val="0"/>
                <w:iCs w:val="0"/>
                <w:color w:val="000000"/>
                <w:sz w:val="18"/>
                <w:szCs w:val="18"/>
                <w:u w:val="none"/>
              </w:rPr>
            </w:pPr>
          </w:p>
        </w:tc>
      </w:tr>
      <w:tr w14:paraId="5F9E2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5848C6B0">
            <w:pPr>
              <w:jc w:val="left"/>
              <w:rPr>
                <w:rFonts w:hint="eastAsia" w:ascii="宋体" w:hAnsi="宋体" w:eastAsia="宋体" w:cs="宋体"/>
                <w:i w:val="0"/>
                <w:iCs w:val="0"/>
                <w:color w:val="000000"/>
                <w:sz w:val="18"/>
                <w:szCs w:val="18"/>
                <w:u w:val="none"/>
              </w:rPr>
            </w:pPr>
          </w:p>
        </w:tc>
        <w:tc>
          <w:tcPr>
            <w:tcW w:w="349"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43C01D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w:t>
            </w:r>
          </w:p>
        </w:tc>
        <w:tc>
          <w:tcPr>
            <w:tcW w:w="1881" w:type="pct"/>
            <w:tcBorders>
              <w:top w:val="single" w:color="000000" w:sz="4" w:space="0"/>
              <w:left w:val="single" w:color="000000" w:sz="4" w:space="0"/>
              <w:bottom w:val="single" w:color="000000" w:sz="4" w:space="0"/>
              <w:right w:val="single" w:color="000000" w:sz="4" w:space="0"/>
            </w:tcBorders>
            <w:shd w:val="clear"/>
            <w:noWrap/>
            <w:vAlign w:val="center"/>
          </w:tcPr>
          <w:p w14:paraId="7FEF1C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对口支援受援医疗机构医疗服务水平</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4A384F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提高</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339D9D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提高</w:t>
            </w:r>
          </w:p>
        </w:tc>
        <w:tc>
          <w:tcPr>
            <w:tcW w:w="136" w:type="pct"/>
            <w:tcBorders>
              <w:top w:val="single" w:color="000000" w:sz="4" w:space="0"/>
              <w:left w:val="single" w:color="000000" w:sz="4" w:space="0"/>
              <w:bottom w:val="single" w:color="000000" w:sz="4" w:space="0"/>
              <w:right w:val="single" w:color="000000" w:sz="4" w:space="0"/>
            </w:tcBorders>
            <w:shd w:val="clear"/>
            <w:noWrap/>
            <w:vAlign w:val="center"/>
          </w:tcPr>
          <w:p w14:paraId="2DE56D2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4</w:t>
            </w: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109C31D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4</w:t>
            </w:r>
          </w:p>
        </w:tc>
        <w:tc>
          <w:tcPr>
            <w:tcW w:w="991" w:type="pct"/>
            <w:tcBorders>
              <w:top w:val="single" w:color="000000" w:sz="4" w:space="0"/>
              <w:left w:val="single" w:color="000000" w:sz="4" w:space="0"/>
              <w:bottom w:val="single" w:color="000000" w:sz="4" w:space="0"/>
              <w:right w:val="single" w:color="000000" w:sz="4" w:space="0"/>
            </w:tcBorders>
            <w:shd w:val="clear"/>
            <w:vAlign w:val="center"/>
          </w:tcPr>
          <w:p w14:paraId="048047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评价要点：对口支援受援医疗机构医疗服务水平情况。评分规则：要点执行情况显著提高、提高、较好、未开展三档，按</w:t>
            </w:r>
            <w:r>
              <w:rPr>
                <w:rFonts w:ascii="Segoe UI" w:hAnsi="Segoe UI" w:eastAsia="Segoe UI" w:cs="Segoe UI"/>
                <w:i w:val="0"/>
                <w:iCs w:val="0"/>
                <w:color w:val="000000"/>
                <w:kern w:val="0"/>
                <w:sz w:val="18"/>
                <w:szCs w:val="18"/>
                <w:u w:val="none"/>
                <w:bdr w:val="none" w:color="auto" w:sz="0" w:space="0"/>
                <w:lang w:val="en-US" w:eastAsia="zh-CN" w:bidi="ar"/>
              </w:rPr>
              <w:t>100%-80%</w:t>
            </w:r>
            <w:r>
              <w:rPr>
                <w:rStyle w:val="15"/>
                <w:bdr w:val="none" w:color="auto" w:sz="0" w:space="0"/>
                <w:lang w:val="en-US" w:eastAsia="zh-CN" w:bidi="ar"/>
              </w:rPr>
              <w:t>（含）、</w:t>
            </w:r>
            <w:r>
              <w:rPr>
                <w:rFonts w:ascii="Segoe UI" w:hAnsi="Segoe UI" w:eastAsia="Segoe UI" w:cs="Segoe UI"/>
                <w:i w:val="0"/>
                <w:iCs w:val="0"/>
                <w:color w:val="000000"/>
                <w:kern w:val="0"/>
                <w:sz w:val="18"/>
                <w:szCs w:val="18"/>
                <w:u w:val="none"/>
                <w:bdr w:val="none" w:color="auto" w:sz="0" w:space="0"/>
                <w:lang w:val="en-US" w:eastAsia="zh-CN" w:bidi="ar"/>
              </w:rPr>
              <w:t>80%-60%</w:t>
            </w:r>
            <w:r>
              <w:rPr>
                <w:rStyle w:val="15"/>
                <w:bdr w:val="none" w:color="auto" w:sz="0" w:space="0"/>
                <w:lang w:val="en-US" w:eastAsia="zh-CN" w:bidi="ar"/>
              </w:rPr>
              <w:t>（含）、</w:t>
            </w:r>
            <w:r>
              <w:rPr>
                <w:rFonts w:ascii="Segoe UI" w:hAnsi="Segoe UI" w:eastAsia="Segoe UI" w:cs="Segoe UI"/>
                <w:i w:val="0"/>
                <w:iCs w:val="0"/>
                <w:color w:val="000000"/>
                <w:kern w:val="0"/>
                <w:sz w:val="18"/>
                <w:szCs w:val="18"/>
                <w:u w:val="none"/>
                <w:bdr w:val="none" w:color="auto" w:sz="0" w:space="0"/>
                <w:lang w:val="en-US" w:eastAsia="zh-CN" w:bidi="ar"/>
              </w:rPr>
              <w:t>60%-40%</w:t>
            </w:r>
            <w:r>
              <w:rPr>
                <w:rStyle w:val="15"/>
                <w:bdr w:val="none" w:color="auto" w:sz="0" w:space="0"/>
                <w:lang w:val="en-US" w:eastAsia="zh-CN" w:bidi="ar"/>
              </w:rPr>
              <w:t>、</w:t>
            </w:r>
            <w:r>
              <w:rPr>
                <w:rFonts w:ascii="Segoe UI" w:hAnsi="Segoe UI" w:eastAsia="Segoe UI" w:cs="Segoe UI"/>
                <w:i w:val="0"/>
                <w:iCs w:val="0"/>
                <w:color w:val="000000"/>
                <w:kern w:val="0"/>
                <w:sz w:val="18"/>
                <w:szCs w:val="18"/>
                <w:u w:val="none"/>
                <w:bdr w:val="none" w:color="auto" w:sz="0" w:space="0"/>
                <w:lang w:val="en-US" w:eastAsia="zh-CN" w:bidi="ar"/>
              </w:rPr>
              <w:t>40%-0%</w:t>
            </w:r>
            <w:r>
              <w:rPr>
                <w:rStyle w:val="15"/>
                <w:bdr w:val="none" w:color="auto" w:sz="0" w:space="0"/>
                <w:lang w:val="en-US" w:eastAsia="zh-CN" w:bidi="ar"/>
              </w:rPr>
              <w:t>评分。</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67923529">
            <w:pPr>
              <w:jc w:val="left"/>
              <w:rPr>
                <w:rFonts w:hint="default" w:ascii="Segoe UI" w:hAnsi="Segoe UI" w:eastAsia="Segoe UI" w:cs="Segoe UI"/>
                <w:i w:val="0"/>
                <w:iCs w:val="0"/>
                <w:color w:val="000000"/>
                <w:sz w:val="18"/>
                <w:szCs w:val="18"/>
                <w:u w:val="none"/>
              </w:rPr>
            </w:pPr>
          </w:p>
        </w:tc>
      </w:tr>
      <w:tr w14:paraId="25BD5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4B331A61">
            <w:pPr>
              <w:jc w:val="left"/>
              <w:rPr>
                <w:rFonts w:hint="eastAsia" w:ascii="宋体" w:hAnsi="宋体" w:eastAsia="宋体" w:cs="宋体"/>
                <w:i w:val="0"/>
                <w:iCs w:val="0"/>
                <w:color w:val="000000"/>
                <w:sz w:val="18"/>
                <w:szCs w:val="18"/>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2B68E9C3">
            <w:pPr>
              <w:jc w:val="left"/>
              <w:rPr>
                <w:rFonts w:hint="eastAsia" w:ascii="宋体" w:hAnsi="宋体" w:eastAsia="宋体" w:cs="宋体"/>
                <w:i w:val="0"/>
                <w:iCs w:val="0"/>
                <w:color w:val="000000"/>
                <w:sz w:val="18"/>
                <w:szCs w:val="18"/>
                <w:u w:val="none"/>
              </w:rPr>
            </w:pPr>
          </w:p>
        </w:tc>
        <w:tc>
          <w:tcPr>
            <w:tcW w:w="1881" w:type="pct"/>
            <w:tcBorders>
              <w:top w:val="single" w:color="000000" w:sz="4" w:space="0"/>
              <w:left w:val="single" w:color="000000" w:sz="4" w:space="0"/>
              <w:bottom w:val="single" w:color="000000" w:sz="4" w:space="0"/>
              <w:right w:val="single" w:color="000000" w:sz="4" w:space="0"/>
            </w:tcBorders>
            <w:shd w:val="clear"/>
            <w:noWrap/>
            <w:vAlign w:val="center"/>
          </w:tcPr>
          <w:p w14:paraId="6CE4FA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本地区位列第一的三级公立中医医院绩效考核结果在全国中医医院排名</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626CBFA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≤4</w:t>
            </w:r>
            <w:r>
              <w:rPr>
                <w:rStyle w:val="15"/>
                <w:bdr w:val="none" w:color="auto" w:sz="0" w:space="0"/>
                <w:lang w:val="en-US" w:eastAsia="zh-CN" w:bidi="ar"/>
              </w:rPr>
              <w:t>名</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4C44577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A+</w:t>
            </w:r>
            <w:r>
              <w:rPr>
                <w:rStyle w:val="15"/>
                <w:bdr w:val="none" w:color="auto" w:sz="0" w:space="0"/>
                <w:lang w:val="en-US" w:eastAsia="zh-CN" w:bidi="ar"/>
              </w:rPr>
              <w:t>取消排名</w:t>
            </w:r>
          </w:p>
        </w:tc>
        <w:tc>
          <w:tcPr>
            <w:tcW w:w="136" w:type="pct"/>
            <w:tcBorders>
              <w:top w:val="single" w:color="000000" w:sz="4" w:space="0"/>
              <w:left w:val="single" w:color="000000" w:sz="4" w:space="0"/>
              <w:bottom w:val="single" w:color="000000" w:sz="4" w:space="0"/>
              <w:right w:val="single" w:color="000000" w:sz="4" w:space="0"/>
            </w:tcBorders>
            <w:shd w:val="clear"/>
            <w:noWrap/>
            <w:vAlign w:val="center"/>
          </w:tcPr>
          <w:p w14:paraId="2D75BF4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3</w:t>
            </w: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314BE3E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3</w:t>
            </w:r>
          </w:p>
        </w:tc>
        <w:tc>
          <w:tcPr>
            <w:tcW w:w="991" w:type="pct"/>
            <w:tcBorders>
              <w:top w:val="single" w:color="000000" w:sz="4" w:space="0"/>
              <w:left w:val="single" w:color="000000" w:sz="4" w:space="0"/>
              <w:bottom w:val="single" w:color="000000" w:sz="4" w:space="0"/>
              <w:right w:val="single" w:color="000000" w:sz="4" w:space="0"/>
            </w:tcBorders>
            <w:shd w:val="clear"/>
            <w:vAlign w:val="center"/>
          </w:tcPr>
          <w:p w14:paraId="229F89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国考已取消排名，本地区位列第一的三级公立中医医院绩效考核结果在全国中医医院为</w:t>
            </w:r>
            <w:r>
              <w:rPr>
                <w:rFonts w:ascii="Segoe UI" w:hAnsi="Segoe UI" w:eastAsia="Segoe UI" w:cs="Segoe UI"/>
                <w:i w:val="0"/>
                <w:iCs w:val="0"/>
                <w:color w:val="000000"/>
                <w:kern w:val="0"/>
                <w:sz w:val="18"/>
                <w:szCs w:val="18"/>
                <w:u w:val="none"/>
                <w:bdr w:val="none" w:color="auto" w:sz="0" w:space="0"/>
                <w:lang w:val="en-US" w:eastAsia="zh-CN" w:bidi="ar"/>
              </w:rPr>
              <w:t>A+</w:t>
            </w:r>
            <w:r>
              <w:rPr>
                <w:rFonts w:hint="eastAsia" w:ascii="宋体" w:hAnsi="宋体" w:eastAsia="宋体" w:cs="宋体"/>
                <w:i w:val="0"/>
                <w:iCs w:val="0"/>
                <w:color w:val="000000"/>
                <w:kern w:val="0"/>
                <w:sz w:val="18"/>
                <w:szCs w:val="18"/>
                <w:u w:val="none"/>
                <w:bdr w:val="none" w:color="auto" w:sz="0" w:space="0"/>
                <w:lang w:val="en-US" w:eastAsia="zh-CN" w:bidi="ar"/>
              </w:rPr>
              <w:t>得满分，否则不得分。</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4B2BAF12">
            <w:pPr>
              <w:jc w:val="left"/>
              <w:rPr>
                <w:rFonts w:hint="default" w:ascii="Segoe UI" w:hAnsi="Segoe UI" w:eastAsia="Segoe UI" w:cs="Segoe UI"/>
                <w:i w:val="0"/>
                <w:iCs w:val="0"/>
                <w:color w:val="000000"/>
                <w:sz w:val="18"/>
                <w:szCs w:val="18"/>
                <w:u w:val="none"/>
              </w:rPr>
            </w:pPr>
          </w:p>
        </w:tc>
      </w:tr>
      <w:tr w14:paraId="016AA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624F6967">
            <w:pPr>
              <w:jc w:val="left"/>
              <w:rPr>
                <w:rFonts w:hint="eastAsia" w:ascii="宋体" w:hAnsi="宋体" w:eastAsia="宋体" w:cs="宋体"/>
                <w:i w:val="0"/>
                <w:iCs w:val="0"/>
                <w:color w:val="000000"/>
                <w:sz w:val="18"/>
                <w:szCs w:val="18"/>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2650FD1C">
            <w:pPr>
              <w:jc w:val="left"/>
              <w:rPr>
                <w:rFonts w:hint="eastAsia" w:ascii="宋体" w:hAnsi="宋体" w:eastAsia="宋体" w:cs="宋体"/>
                <w:i w:val="0"/>
                <w:iCs w:val="0"/>
                <w:color w:val="000000"/>
                <w:sz w:val="18"/>
                <w:szCs w:val="18"/>
                <w:u w:val="none"/>
              </w:rPr>
            </w:pPr>
          </w:p>
        </w:tc>
        <w:tc>
          <w:tcPr>
            <w:tcW w:w="1881" w:type="pct"/>
            <w:tcBorders>
              <w:top w:val="single" w:color="000000" w:sz="4" w:space="0"/>
              <w:left w:val="single" w:color="000000" w:sz="4" w:space="0"/>
              <w:bottom w:val="single" w:color="000000" w:sz="4" w:space="0"/>
              <w:right w:val="single" w:color="000000" w:sz="4" w:space="0"/>
            </w:tcBorders>
            <w:shd w:val="clear"/>
            <w:noWrap/>
            <w:vAlign w:val="center"/>
          </w:tcPr>
          <w:p w14:paraId="212AEF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医联体核心医院作用</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3000D9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技术辐射和带动</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29F6B8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技术辐射和带动</w:t>
            </w:r>
          </w:p>
        </w:tc>
        <w:tc>
          <w:tcPr>
            <w:tcW w:w="136" w:type="pct"/>
            <w:tcBorders>
              <w:top w:val="single" w:color="000000" w:sz="4" w:space="0"/>
              <w:left w:val="single" w:color="000000" w:sz="4" w:space="0"/>
              <w:bottom w:val="single" w:color="000000" w:sz="4" w:space="0"/>
              <w:right w:val="single" w:color="000000" w:sz="4" w:space="0"/>
            </w:tcBorders>
            <w:shd w:val="clear"/>
            <w:noWrap/>
            <w:vAlign w:val="center"/>
          </w:tcPr>
          <w:p w14:paraId="04ECB80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3</w:t>
            </w: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3BEDA3B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3</w:t>
            </w:r>
          </w:p>
        </w:tc>
        <w:tc>
          <w:tcPr>
            <w:tcW w:w="991" w:type="pct"/>
            <w:tcBorders>
              <w:top w:val="single" w:color="000000" w:sz="4" w:space="0"/>
              <w:left w:val="single" w:color="000000" w:sz="4" w:space="0"/>
              <w:bottom w:val="single" w:color="000000" w:sz="4" w:space="0"/>
              <w:right w:val="single" w:color="000000" w:sz="4" w:space="0"/>
            </w:tcBorders>
            <w:shd w:val="clear"/>
            <w:vAlign w:val="center"/>
          </w:tcPr>
          <w:p w14:paraId="2C044D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评价要点：医联体核心医院作用。评分规则：要点执行情况成效显著、成效一般、无成效三档，按</w:t>
            </w:r>
            <w:r>
              <w:rPr>
                <w:rFonts w:ascii="Segoe UI" w:hAnsi="Segoe UI" w:eastAsia="Segoe UI" w:cs="Segoe UI"/>
                <w:i w:val="0"/>
                <w:iCs w:val="0"/>
                <w:color w:val="000000"/>
                <w:kern w:val="0"/>
                <w:sz w:val="18"/>
                <w:szCs w:val="18"/>
                <w:u w:val="none"/>
                <w:bdr w:val="none" w:color="auto" w:sz="0" w:space="0"/>
                <w:lang w:val="en-US" w:eastAsia="zh-CN" w:bidi="ar"/>
              </w:rPr>
              <w:t>100%-80%</w:t>
            </w:r>
            <w:r>
              <w:rPr>
                <w:rStyle w:val="15"/>
                <w:bdr w:val="none" w:color="auto" w:sz="0" w:space="0"/>
                <w:lang w:val="en-US" w:eastAsia="zh-CN" w:bidi="ar"/>
              </w:rPr>
              <w:t>（含）、</w:t>
            </w:r>
            <w:r>
              <w:rPr>
                <w:rFonts w:ascii="Segoe UI" w:hAnsi="Segoe UI" w:eastAsia="Segoe UI" w:cs="Segoe UI"/>
                <w:i w:val="0"/>
                <w:iCs w:val="0"/>
                <w:color w:val="000000"/>
                <w:kern w:val="0"/>
                <w:sz w:val="18"/>
                <w:szCs w:val="18"/>
                <w:u w:val="none"/>
                <w:bdr w:val="none" w:color="auto" w:sz="0" w:space="0"/>
                <w:lang w:val="en-US" w:eastAsia="zh-CN" w:bidi="ar"/>
              </w:rPr>
              <w:t>80%-60%</w:t>
            </w:r>
            <w:r>
              <w:rPr>
                <w:rStyle w:val="15"/>
                <w:bdr w:val="none" w:color="auto" w:sz="0" w:space="0"/>
                <w:lang w:val="en-US" w:eastAsia="zh-CN" w:bidi="ar"/>
              </w:rPr>
              <w:t>（含）、</w:t>
            </w:r>
            <w:r>
              <w:rPr>
                <w:rFonts w:ascii="Segoe UI" w:hAnsi="Segoe UI" w:eastAsia="Segoe UI" w:cs="Segoe UI"/>
                <w:i w:val="0"/>
                <w:iCs w:val="0"/>
                <w:color w:val="000000"/>
                <w:kern w:val="0"/>
                <w:sz w:val="18"/>
                <w:szCs w:val="18"/>
                <w:u w:val="none"/>
                <w:bdr w:val="none" w:color="auto" w:sz="0" w:space="0"/>
                <w:lang w:val="en-US" w:eastAsia="zh-CN" w:bidi="ar"/>
              </w:rPr>
              <w:t>60%-0%</w:t>
            </w:r>
            <w:r>
              <w:rPr>
                <w:rStyle w:val="15"/>
                <w:bdr w:val="none" w:color="auto" w:sz="0" w:space="0"/>
                <w:lang w:val="en-US" w:eastAsia="zh-CN" w:bidi="ar"/>
              </w:rPr>
              <w:t>评分。</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185B9B64">
            <w:pPr>
              <w:jc w:val="left"/>
              <w:rPr>
                <w:rFonts w:hint="default" w:ascii="Segoe UI" w:hAnsi="Segoe UI" w:eastAsia="Segoe UI" w:cs="Segoe UI"/>
                <w:i w:val="0"/>
                <w:iCs w:val="0"/>
                <w:color w:val="000000"/>
                <w:sz w:val="18"/>
                <w:szCs w:val="18"/>
                <w:u w:val="none"/>
              </w:rPr>
            </w:pPr>
          </w:p>
        </w:tc>
      </w:tr>
      <w:tr w14:paraId="45DF1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14E2D959">
            <w:pPr>
              <w:jc w:val="left"/>
              <w:rPr>
                <w:rFonts w:hint="eastAsia" w:ascii="宋体" w:hAnsi="宋体" w:eastAsia="宋体" w:cs="宋体"/>
                <w:i w:val="0"/>
                <w:iCs w:val="0"/>
                <w:color w:val="000000"/>
                <w:sz w:val="18"/>
                <w:szCs w:val="18"/>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6FF1581D">
            <w:pPr>
              <w:jc w:val="left"/>
              <w:rPr>
                <w:rFonts w:hint="eastAsia" w:ascii="宋体" w:hAnsi="宋体" w:eastAsia="宋体" w:cs="宋体"/>
                <w:i w:val="0"/>
                <w:iCs w:val="0"/>
                <w:color w:val="000000"/>
                <w:sz w:val="18"/>
                <w:szCs w:val="18"/>
                <w:u w:val="none"/>
              </w:rPr>
            </w:pPr>
          </w:p>
        </w:tc>
        <w:tc>
          <w:tcPr>
            <w:tcW w:w="1881" w:type="pct"/>
            <w:tcBorders>
              <w:top w:val="single" w:color="000000" w:sz="4" w:space="0"/>
              <w:left w:val="single" w:color="000000" w:sz="4" w:space="0"/>
              <w:bottom w:val="single" w:color="000000" w:sz="4" w:space="0"/>
              <w:right w:val="single" w:color="000000" w:sz="4" w:space="0"/>
            </w:tcBorders>
            <w:shd w:val="clear"/>
            <w:noWrap/>
            <w:vAlign w:val="center"/>
          </w:tcPr>
          <w:p w14:paraId="7CCCEE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二级以上公立医院总诊疗量中中医医院诊疗量所占比例</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633B03E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≥27%</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6E3C338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0.276</w:t>
            </w:r>
          </w:p>
        </w:tc>
        <w:tc>
          <w:tcPr>
            <w:tcW w:w="136" w:type="pct"/>
            <w:tcBorders>
              <w:top w:val="single" w:color="000000" w:sz="4" w:space="0"/>
              <w:left w:val="single" w:color="000000" w:sz="4" w:space="0"/>
              <w:bottom w:val="single" w:color="000000" w:sz="4" w:space="0"/>
              <w:right w:val="single" w:color="000000" w:sz="4" w:space="0"/>
            </w:tcBorders>
            <w:shd w:val="clear"/>
            <w:noWrap/>
            <w:vAlign w:val="center"/>
          </w:tcPr>
          <w:p w14:paraId="2B0A415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3</w:t>
            </w: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1E9B807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3</w:t>
            </w:r>
          </w:p>
        </w:tc>
        <w:tc>
          <w:tcPr>
            <w:tcW w:w="991" w:type="pct"/>
            <w:tcBorders>
              <w:top w:val="single" w:color="000000" w:sz="4" w:space="0"/>
              <w:left w:val="single" w:color="000000" w:sz="4" w:space="0"/>
              <w:bottom w:val="single" w:color="000000" w:sz="4" w:space="0"/>
              <w:right w:val="single" w:color="000000" w:sz="4" w:space="0"/>
            </w:tcBorders>
            <w:shd w:val="clear"/>
            <w:vAlign w:val="center"/>
          </w:tcPr>
          <w:p w14:paraId="7A52BF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评价细则：二级以上公立医院总诊疗量中中医医院诊疗量所占比例达标得满分，若未达标，得分</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（实际值</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目标值）</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分值</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1604028D">
            <w:pPr>
              <w:jc w:val="left"/>
              <w:rPr>
                <w:rFonts w:hint="default" w:ascii="Segoe UI" w:hAnsi="Segoe UI" w:eastAsia="Segoe UI" w:cs="Segoe UI"/>
                <w:i w:val="0"/>
                <w:iCs w:val="0"/>
                <w:color w:val="000000"/>
                <w:sz w:val="18"/>
                <w:szCs w:val="18"/>
                <w:u w:val="none"/>
              </w:rPr>
            </w:pPr>
          </w:p>
        </w:tc>
      </w:tr>
      <w:tr w14:paraId="00E92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3CC96E3C">
            <w:pPr>
              <w:jc w:val="left"/>
              <w:rPr>
                <w:rFonts w:hint="eastAsia" w:ascii="宋体" w:hAnsi="宋体" w:eastAsia="宋体" w:cs="宋体"/>
                <w:i w:val="0"/>
                <w:iCs w:val="0"/>
                <w:color w:val="000000"/>
                <w:sz w:val="18"/>
                <w:szCs w:val="18"/>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5FEE8E88">
            <w:pPr>
              <w:jc w:val="left"/>
              <w:rPr>
                <w:rFonts w:hint="eastAsia" w:ascii="宋体" w:hAnsi="宋体" w:eastAsia="宋体" w:cs="宋体"/>
                <w:i w:val="0"/>
                <w:iCs w:val="0"/>
                <w:color w:val="000000"/>
                <w:sz w:val="18"/>
                <w:szCs w:val="18"/>
                <w:u w:val="none"/>
              </w:rPr>
            </w:pPr>
          </w:p>
        </w:tc>
        <w:tc>
          <w:tcPr>
            <w:tcW w:w="1881" w:type="pct"/>
            <w:tcBorders>
              <w:top w:val="single" w:color="000000" w:sz="4" w:space="0"/>
              <w:left w:val="single" w:color="000000" w:sz="4" w:space="0"/>
              <w:bottom w:val="single" w:color="000000" w:sz="4" w:space="0"/>
              <w:right w:val="single" w:color="000000" w:sz="4" w:space="0"/>
            </w:tcBorders>
            <w:shd w:val="clear"/>
            <w:noWrap/>
            <w:vAlign w:val="center"/>
          </w:tcPr>
          <w:p w14:paraId="73F93B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基层医疗卫生机构总诊疗量中中医诊疗量所占比例</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0A4C981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≥29%</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1EF2E7F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0.3686</w:t>
            </w:r>
          </w:p>
        </w:tc>
        <w:tc>
          <w:tcPr>
            <w:tcW w:w="136" w:type="pct"/>
            <w:tcBorders>
              <w:top w:val="single" w:color="000000" w:sz="4" w:space="0"/>
              <w:left w:val="single" w:color="000000" w:sz="4" w:space="0"/>
              <w:bottom w:val="single" w:color="000000" w:sz="4" w:space="0"/>
              <w:right w:val="single" w:color="000000" w:sz="4" w:space="0"/>
            </w:tcBorders>
            <w:shd w:val="clear"/>
            <w:noWrap/>
            <w:vAlign w:val="center"/>
          </w:tcPr>
          <w:p w14:paraId="1964AD1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3</w:t>
            </w: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0BD5F05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3</w:t>
            </w:r>
          </w:p>
        </w:tc>
        <w:tc>
          <w:tcPr>
            <w:tcW w:w="991" w:type="pct"/>
            <w:tcBorders>
              <w:top w:val="single" w:color="000000" w:sz="4" w:space="0"/>
              <w:left w:val="single" w:color="000000" w:sz="4" w:space="0"/>
              <w:bottom w:val="single" w:color="000000" w:sz="4" w:space="0"/>
              <w:right w:val="single" w:color="000000" w:sz="4" w:space="0"/>
            </w:tcBorders>
            <w:shd w:val="clear"/>
            <w:vAlign w:val="center"/>
          </w:tcPr>
          <w:p w14:paraId="069100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评价细则：基层医疗卫生机构总诊疗量中中医诊疗量所占比例达标得满分，若未达标，得分</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（实际值</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目标值）</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分值</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3437F82C">
            <w:pPr>
              <w:jc w:val="left"/>
              <w:rPr>
                <w:rFonts w:hint="default" w:ascii="Segoe UI" w:hAnsi="Segoe UI" w:eastAsia="Segoe UI" w:cs="Segoe UI"/>
                <w:i w:val="0"/>
                <w:iCs w:val="0"/>
                <w:color w:val="000000"/>
                <w:sz w:val="18"/>
                <w:szCs w:val="18"/>
                <w:u w:val="none"/>
              </w:rPr>
            </w:pPr>
          </w:p>
        </w:tc>
      </w:tr>
      <w:tr w14:paraId="77C17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25CC6F0B">
            <w:pPr>
              <w:jc w:val="left"/>
              <w:rPr>
                <w:rFonts w:hint="eastAsia" w:ascii="宋体" w:hAnsi="宋体" w:eastAsia="宋体" w:cs="宋体"/>
                <w:i w:val="0"/>
                <w:iCs w:val="0"/>
                <w:color w:val="000000"/>
                <w:sz w:val="18"/>
                <w:szCs w:val="18"/>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66CD8597">
            <w:pPr>
              <w:jc w:val="left"/>
              <w:rPr>
                <w:rFonts w:hint="eastAsia" w:ascii="宋体" w:hAnsi="宋体" w:eastAsia="宋体" w:cs="宋体"/>
                <w:i w:val="0"/>
                <w:iCs w:val="0"/>
                <w:color w:val="000000"/>
                <w:sz w:val="18"/>
                <w:szCs w:val="18"/>
                <w:u w:val="none"/>
              </w:rPr>
            </w:pPr>
          </w:p>
        </w:tc>
        <w:tc>
          <w:tcPr>
            <w:tcW w:w="1881" w:type="pct"/>
            <w:tcBorders>
              <w:top w:val="single" w:color="000000" w:sz="4" w:space="0"/>
              <w:left w:val="single" w:color="000000" w:sz="4" w:space="0"/>
              <w:bottom w:val="single" w:color="000000" w:sz="4" w:space="0"/>
              <w:right w:val="single" w:color="000000" w:sz="4" w:space="0"/>
            </w:tcBorders>
            <w:shd w:val="clear"/>
            <w:noWrap/>
            <w:vAlign w:val="center"/>
          </w:tcPr>
          <w:p w14:paraId="0D9B3D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医联体建设中基层医疗服务能力水平</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4D2ED2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提高</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2A2134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提高</w:t>
            </w:r>
          </w:p>
        </w:tc>
        <w:tc>
          <w:tcPr>
            <w:tcW w:w="136" w:type="pct"/>
            <w:tcBorders>
              <w:top w:val="single" w:color="000000" w:sz="4" w:space="0"/>
              <w:left w:val="single" w:color="000000" w:sz="4" w:space="0"/>
              <w:bottom w:val="single" w:color="000000" w:sz="4" w:space="0"/>
              <w:right w:val="single" w:color="000000" w:sz="4" w:space="0"/>
            </w:tcBorders>
            <w:shd w:val="clear"/>
            <w:noWrap/>
            <w:vAlign w:val="center"/>
          </w:tcPr>
          <w:p w14:paraId="0B290B5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4</w:t>
            </w: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4AE977F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4</w:t>
            </w:r>
          </w:p>
        </w:tc>
        <w:tc>
          <w:tcPr>
            <w:tcW w:w="991" w:type="pct"/>
            <w:tcBorders>
              <w:top w:val="single" w:color="000000" w:sz="4" w:space="0"/>
              <w:left w:val="single" w:color="000000" w:sz="4" w:space="0"/>
              <w:bottom w:val="single" w:color="000000" w:sz="4" w:space="0"/>
              <w:right w:val="single" w:color="000000" w:sz="4" w:space="0"/>
            </w:tcBorders>
            <w:shd w:val="clear"/>
            <w:vAlign w:val="center"/>
          </w:tcPr>
          <w:p w14:paraId="5EA111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评价要点：医联体建设中基层医疗服务能力水平情况。评分规则：要点执行情况成效显著、成效一般、无成效、未开展四档，按</w:t>
            </w:r>
            <w:r>
              <w:rPr>
                <w:rFonts w:ascii="Segoe UI" w:hAnsi="Segoe UI" w:eastAsia="Segoe UI" w:cs="Segoe UI"/>
                <w:i w:val="0"/>
                <w:iCs w:val="0"/>
                <w:color w:val="000000"/>
                <w:kern w:val="0"/>
                <w:sz w:val="18"/>
                <w:szCs w:val="18"/>
                <w:u w:val="none"/>
                <w:bdr w:val="none" w:color="auto" w:sz="0" w:space="0"/>
                <w:lang w:val="en-US" w:eastAsia="zh-CN" w:bidi="ar"/>
              </w:rPr>
              <w:t>100%-80%</w:t>
            </w:r>
            <w:r>
              <w:rPr>
                <w:rStyle w:val="15"/>
                <w:bdr w:val="none" w:color="auto" w:sz="0" w:space="0"/>
                <w:lang w:val="en-US" w:eastAsia="zh-CN" w:bidi="ar"/>
              </w:rPr>
              <w:t>（含）、</w:t>
            </w:r>
            <w:r>
              <w:rPr>
                <w:rFonts w:ascii="Segoe UI" w:hAnsi="Segoe UI" w:eastAsia="Segoe UI" w:cs="Segoe UI"/>
                <w:i w:val="0"/>
                <w:iCs w:val="0"/>
                <w:color w:val="000000"/>
                <w:kern w:val="0"/>
                <w:sz w:val="18"/>
                <w:szCs w:val="18"/>
                <w:u w:val="none"/>
                <w:bdr w:val="none" w:color="auto" w:sz="0" w:space="0"/>
                <w:lang w:val="en-US" w:eastAsia="zh-CN" w:bidi="ar"/>
              </w:rPr>
              <w:t>80%-60%</w:t>
            </w:r>
            <w:r>
              <w:rPr>
                <w:rStyle w:val="15"/>
                <w:bdr w:val="none" w:color="auto" w:sz="0" w:space="0"/>
                <w:lang w:val="en-US" w:eastAsia="zh-CN" w:bidi="ar"/>
              </w:rPr>
              <w:t>（含）、</w:t>
            </w:r>
            <w:r>
              <w:rPr>
                <w:rFonts w:ascii="Segoe UI" w:hAnsi="Segoe UI" w:eastAsia="Segoe UI" w:cs="Segoe UI"/>
                <w:i w:val="0"/>
                <w:iCs w:val="0"/>
                <w:color w:val="000000"/>
                <w:kern w:val="0"/>
                <w:sz w:val="18"/>
                <w:szCs w:val="18"/>
                <w:u w:val="none"/>
                <w:bdr w:val="none" w:color="auto" w:sz="0" w:space="0"/>
                <w:lang w:val="en-US" w:eastAsia="zh-CN" w:bidi="ar"/>
              </w:rPr>
              <w:t>60%-40%</w:t>
            </w:r>
            <w:r>
              <w:rPr>
                <w:rStyle w:val="15"/>
                <w:bdr w:val="none" w:color="auto" w:sz="0" w:space="0"/>
                <w:lang w:val="en-US" w:eastAsia="zh-CN" w:bidi="ar"/>
              </w:rPr>
              <w:t>、</w:t>
            </w:r>
            <w:r>
              <w:rPr>
                <w:rFonts w:ascii="Segoe UI" w:hAnsi="Segoe UI" w:eastAsia="Segoe UI" w:cs="Segoe UI"/>
                <w:i w:val="0"/>
                <w:iCs w:val="0"/>
                <w:color w:val="000000"/>
                <w:kern w:val="0"/>
                <w:sz w:val="18"/>
                <w:szCs w:val="18"/>
                <w:u w:val="none"/>
                <w:bdr w:val="none" w:color="auto" w:sz="0" w:space="0"/>
                <w:lang w:val="en-US" w:eastAsia="zh-CN" w:bidi="ar"/>
              </w:rPr>
              <w:t>40%-0%</w:t>
            </w:r>
            <w:r>
              <w:rPr>
                <w:rStyle w:val="15"/>
                <w:bdr w:val="none" w:color="auto" w:sz="0" w:space="0"/>
                <w:lang w:val="en-US" w:eastAsia="zh-CN" w:bidi="ar"/>
              </w:rPr>
              <w:t>评分。</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217F0482">
            <w:pPr>
              <w:jc w:val="left"/>
              <w:rPr>
                <w:rFonts w:hint="default" w:ascii="Segoe UI" w:hAnsi="Segoe UI" w:eastAsia="Segoe UI" w:cs="Segoe UI"/>
                <w:i w:val="0"/>
                <w:iCs w:val="0"/>
                <w:color w:val="000000"/>
                <w:sz w:val="18"/>
                <w:szCs w:val="18"/>
                <w:u w:val="none"/>
              </w:rPr>
            </w:pPr>
          </w:p>
        </w:tc>
      </w:tr>
      <w:tr w14:paraId="4F47C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76276EA7">
            <w:pPr>
              <w:jc w:val="left"/>
              <w:rPr>
                <w:rFonts w:hint="eastAsia" w:ascii="宋体" w:hAnsi="宋体" w:eastAsia="宋体" w:cs="宋体"/>
                <w:i w:val="0"/>
                <w:iCs w:val="0"/>
                <w:color w:val="000000"/>
                <w:sz w:val="18"/>
                <w:szCs w:val="18"/>
                <w:u w:val="none"/>
              </w:rPr>
            </w:pP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1B1F23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可持续影响</w:t>
            </w:r>
          </w:p>
        </w:tc>
        <w:tc>
          <w:tcPr>
            <w:tcW w:w="1881" w:type="pct"/>
            <w:tcBorders>
              <w:top w:val="single" w:color="000000" w:sz="4" w:space="0"/>
              <w:left w:val="single" w:color="000000" w:sz="4" w:space="0"/>
              <w:bottom w:val="single" w:color="000000" w:sz="4" w:space="0"/>
              <w:right w:val="single" w:color="000000" w:sz="4" w:space="0"/>
            </w:tcBorders>
            <w:shd w:val="clear"/>
            <w:noWrap/>
            <w:vAlign w:val="center"/>
          </w:tcPr>
          <w:p w14:paraId="6A36CB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市属公立医院药品耗材零差率政策落实</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3614C4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持续实施</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2B0CC6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持续实施</w:t>
            </w:r>
          </w:p>
        </w:tc>
        <w:tc>
          <w:tcPr>
            <w:tcW w:w="136" w:type="pct"/>
            <w:tcBorders>
              <w:top w:val="single" w:color="000000" w:sz="4" w:space="0"/>
              <w:left w:val="single" w:color="000000" w:sz="4" w:space="0"/>
              <w:bottom w:val="single" w:color="000000" w:sz="4" w:space="0"/>
              <w:right w:val="single" w:color="000000" w:sz="4" w:space="0"/>
            </w:tcBorders>
            <w:shd w:val="clear"/>
            <w:noWrap/>
            <w:vAlign w:val="center"/>
          </w:tcPr>
          <w:p w14:paraId="5E4FC14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4</w:t>
            </w: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5D6C557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4</w:t>
            </w:r>
          </w:p>
        </w:tc>
        <w:tc>
          <w:tcPr>
            <w:tcW w:w="991" w:type="pct"/>
            <w:tcBorders>
              <w:top w:val="single" w:color="000000" w:sz="4" w:space="0"/>
              <w:left w:val="single" w:color="000000" w:sz="4" w:space="0"/>
              <w:bottom w:val="single" w:color="000000" w:sz="4" w:space="0"/>
              <w:right w:val="single" w:color="000000" w:sz="4" w:space="0"/>
            </w:tcBorders>
            <w:shd w:val="clear"/>
            <w:vAlign w:val="center"/>
          </w:tcPr>
          <w:p w14:paraId="76ED95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评价要点：医院药品耗材零差率政策落实情况。评分规则：要点执行情况成效显著、成效一般、无成效、未开展四档，按</w:t>
            </w:r>
            <w:r>
              <w:rPr>
                <w:rFonts w:ascii="Segoe UI" w:hAnsi="Segoe UI" w:eastAsia="Segoe UI" w:cs="Segoe UI"/>
                <w:i w:val="0"/>
                <w:iCs w:val="0"/>
                <w:color w:val="000000"/>
                <w:kern w:val="0"/>
                <w:sz w:val="18"/>
                <w:szCs w:val="18"/>
                <w:u w:val="none"/>
                <w:bdr w:val="none" w:color="auto" w:sz="0" w:space="0"/>
                <w:lang w:val="en-US" w:eastAsia="zh-CN" w:bidi="ar"/>
              </w:rPr>
              <w:t>100%-80%</w:t>
            </w:r>
            <w:r>
              <w:rPr>
                <w:rFonts w:hint="eastAsia" w:ascii="宋体" w:hAnsi="宋体" w:eastAsia="宋体" w:cs="宋体"/>
                <w:i w:val="0"/>
                <w:iCs w:val="0"/>
                <w:color w:val="000000"/>
                <w:kern w:val="0"/>
                <w:sz w:val="18"/>
                <w:szCs w:val="18"/>
                <w:u w:val="none"/>
                <w:bdr w:val="none" w:color="auto" w:sz="0" w:space="0"/>
                <w:lang w:val="en-US" w:eastAsia="zh-CN" w:bidi="ar"/>
              </w:rPr>
              <w:t>（含）、</w:t>
            </w:r>
            <w:r>
              <w:rPr>
                <w:rFonts w:ascii="Segoe UI" w:hAnsi="Segoe UI" w:eastAsia="Segoe UI" w:cs="Segoe UI"/>
                <w:i w:val="0"/>
                <w:iCs w:val="0"/>
                <w:color w:val="000000"/>
                <w:kern w:val="0"/>
                <w:sz w:val="18"/>
                <w:szCs w:val="18"/>
                <w:u w:val="none"/>
                <w:bdr w:val="none" w:color="auto" w:sz="0" w:space="0"/>
                <w:lang w:val="en-US" w:eastAsia="zh-CN" w:bidi="ar"/>
              </w:rPr>
              <w:t>80%-60%</w:t>
            </w:r>
            <w:r>
              <w:rPr>
                <w:rFonts w:hint="eastAsia" w:ascii="宋体" w:hAnsi="宋体" w:eastAsia="宋体" w:cs="宋体"/>
                <w:i w:val="0"/>
                <w:iCs w:val="0"/>
                <w:color w:val="000000"/>
                <w:kern w:val="0"/>
                <w:sz w:val="18"/>
                <w:szCs w:val="18"/>
                <w:u w:val="none"/>
                <w:bdr w:val="none" w:color="auto" w:sz="0" w:space="0"/>
                <w:lang w:val="en-US" w:eastAsia="zh-CN" w:bidi="ar"/>
              </w:rPr>
              <w:t>（含）、</w:t>
            </w:r>
            <w:r>
              <w:rPr>
                <w:rFonts w:ascii="Segoe UI" w:hAnsi="Segoe UI" w:eastAsia="Segoe UI" w:cs="Segoe UI"/>
                <w:i w:val="0"/>
                <w:iCs w:val="0"/>
                <w:color w:val="000000"/>
                <w:kern w:val="0"/>
                <w:sz w:val="18"/>
                <w:szCs w:val="18"/>
                <w:u w:val="none"/>
                <w:bdr w:val="none" w:color="auto" w:sz="0" w:space="0"/>
                <w:lang w:val="en-US" w:eastAsia="zh-CN" w:bidi="ar"/>
              </w:rPr>
              <w:t>60%-40%</w:t>
            </w:r>
            <w:r>
              <w:rPr>
                <w:rFonts w:hint="eastAsia" w:ascii="宋体" w:hAnsi="宋体" w:eastAsia="宋体" w:cs="宋体"/>
                <w:i w:val="0"/>
                <w:iCs w:val="0"/>
                <w:color w:val="000000"/>
                <w:kern w:val="0"/>
                <w:sz w:val="18"/>
                <w:szCs w:val="18"/>
                <w:u w:val="none"/>
                <w:bdr w:val="none" w:color="auto" w:sz="0" w:space="0"/>
                <w:lang w:val="en-US" w:eastAsia="zh-CN" w:bidi="ar"/>
              </w:rPr>
              <w:t>、</w:t>
            </w:r>
            <w:r>
              <w:rPr>
                <w:rFonts w:ascii="Segoe UI" w:hAnsi="Segoe UI" w:eastAsia="Segoe UI" w:cs="Segoe UI"/>
                <w:i w:val="0"/>
                <w:iCs w:val="0"/>
                <w:color w:val="000000"/>
                <w:kern w:val="0"/>
                <w:sz w:val="18"/>
                <w:szCs w:val="18"/>
                <w:u w:val="none"/>
                <w:bdr w:val="none" w:color="auto" w:sz="0" w:space="0"/>
                <w:lang w:val="en-US" w:eastAsia="zh-CN" w:bidi="ar"/>
              </w:rPr>
              <w:t>40%-0%</w:t>
            </w:r>
            <w:r>
              <w:rPr>
                <w:rFonts w:hint="eastAsia" w:ascii="宋体" w:hAnsi="宋体" w:eastAsia="宋体" w:cs="宋体"/>
                <w:i w:val="0"/>
                <w:iCs w:val="0"/>
                <w:color w:val="000000"/>
                <w:kern w:val="0"/>
                <w:sz w:val="18"/>
                <w:szCs w:val="18"/>
                <w:u w:val="none"/>
                <w:bdr w:val="none" w:color="auto" w:sz="0" w:space="0"/>
                <w:lang w:val="en-US" w:eastAsia="zh-CN" w:bidi="ar"/>
              </w:rPr>
              <w:t>评分。</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1A91243A">
            <w:pPr>
              <w:jc w:val="left"/>
              <w:rPr>
                <w:rFonts w:hint="default" w:ascii="Segoe UI" w:hAnsi="Segoe UI" w:eastAsia="Segoe UI" w:cs="Segoe UI"/>
                <w:i w:val="0"/>
                <w:iCs w:val="0"/>
                <w:color w:val="000000"/>
                <w:sz w:val="18"/>
                <w:szCs w:val="18"/>
                <w:u w:val="none"/>
              </w:rPr>
            </w:pPr>
          </w:p>
        </w:tc>
      </w:tr>
      <w:tr w14:paraId="6D652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5"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5AE406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r>
              <w:rPr>
                <w:rFonts w:ascii="Segoe UI" w:hAnsi="Segoe UI" w:eastAsia="Segoe UI" w:cs="Segoe UI"/>
                <w:i w:val="0"/>
                <w:iCs w:val="0"/>
                <w:color w:val="000000"/>
                <w:kern w:val="0"/>
                <w:sz w:val="18"/>
                <w:szCs w:val="18"/>
                <w:u w:val="none"/>
                <w:bdr w:val="none" w:color="auto" w:sz="0" w:space="0"/>
                <w:lang w:val="en-US" w:eastAsia="zh-CN" w:bidi="ar"/>
              </w:rPr>
              <w:t>(10)</w:t>
            </w:r>
          </w:p>
        </w:tc>
        <w:tc>
          <w:tcPr>
            <w:tcW w:w="349"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78EFDF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w:t>
            </w:r>
          </w:p>
        </w:tc>
        <w:tc>
          <w:tcPr>
            <w:tcW w:w="1881" w:type="pct"/>
            <w:tcBorders>
              <w:top w:val="single" w:color="000000" w:sz="4" w:space="0"/>
              <w:left w:val="single" w:color="000000" w:sz="4" w:space="0"/>
              <w:bottom w:val="single" w:color="000000" w:sz="4" w:space="0"/>
              <w:right w:val="single" w:color="000000" w:sz="4" w:space="0"/>
            </w:tcBorders>
            <w:shd w:val="clear"/>
            <w:noWrap/>
            <w:vAlign w:val="center"/>
          </w:tcPr>
          <w:p w14:paraId="762750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二级以上公立中医医院门诊和住院患者满意度</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门诊）</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50563EB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≥97.5%</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2A7C846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0.9905</w:t>
            </w:r>
          </w:p>
        </w:tc>
        <w:tc>
          <w:tcPr>
            <w:tcW w:w="136" w:type="pct"/>
            <w:tcBorders>
              <w:top w:val="single" w:color="000000" w:sz="4" w:space="0"/>
              <w:left w:val="single" w:color="000000" w:sz="4" w:space="0"/>
              <w:bottom w:val="single" w:color="000000" w:sz="4" w:space="0"/>
              <w:right w:val="single" w:color="000000" w:sz="4" w:space="0"/>
            </w:tcBorders>
            <w:shd w:val="clear"/>
            <w:noWrap/>
            <w:vAlign w:val="center"/>
          </w:tcPr>
          <w:p w14:paraId="5ECFB7A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5</w:t>
            </w: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1AF9E90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5</w:t>
            </w:r>
          </w:p>
        </w:tc>
        <w:tc>
          <w:tcPr>
            <w:tcW w:w="991" w:type="pct"/>
            <w:tcBorders>
              <w:top w:val="single" w:color="000000" w:sz="4" w:space="0"/>
              <w:left w:val="single" w:color="000000" w:sz="4" w:space="0"/>
              <w:bottom w:val="single" w:color="000000" w:sz="4" w:space="0"/>
              <w:right w:val="single" w:color="000000" w:sz="4" w:space="0"/>
            </w:tcBorders>
            <w:shd w:val="clear"/>
            <w:vAlign w:val="center"/>
          </w:tcPr>
          <w:p w14:paraId="3B41D5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评价细则：二级以上公立中医医院门诊和住院患者满意度</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门诊）达标得满分，若未达标，得分</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（实际值</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目标值）</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分值</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098C3651">
            <w:pPr>
              <w:jc w:val="left"/>
              <w:rPr>
                <w:rFonts w:hint="default" w:ascii="Segoe UI" w:hAnsi="Segoe UI" w:eastAsia="Segoe UI" w:cs="Segoe UI"/>
                <w:i w:val="0"/>
                <w:iCs w:val="0"/>
                <w:color w:val="000000"/>
                <w:sz w:val="18"/>
                <w:szCs w:val="18"/>
                <w:u w:val="none"/>
              </w:rPr>
            </w:pPr>
          </w:p>
        </w:tc>
      </w:tr>
      <w:tr w14:paraId="43ADA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3CB8A34D">
            <w:pPr>
              <w:jc w:val="left"/>
              <w:rPr>
                <w:rFonts w:hint="eastAsia" w:ascii="宋体" w:hAnsi="宋体" w:eastAsia="宋体" w:cs="宋体"/>
                <w:i w:val="0"/>
                <w:iCs w:val="0"/>
                <w:color w:val="000000"/>
                <w:sz w:val="18"/>
                <w:szCs w:val="18"/>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00C0C98C">
            <w:pPr>
              <w:jc w:val="left"/>
              <w:rPr>
                <w:rFonts w:hint="eastAsia" w:ascii="宋体" w:hAnsi="宋体" w:eastAsia="宋体" w:cs="宋体"/>
                <w:i w:val="0"/>
                <w:iCs w:val="0"/>
                <w:color w:val="000000"/>
                <w:sz w:val="18"/>
                <w:szCs w:val="18"/>
                <w:u w:val="none"/>
              </w:rPr>
            </w:pPr>
          </w:p>
        </w:tc>
        <w:tc>
          <w:tcPr>
            <w:tcW w:w="1881" w:type="pct"/>
            <w:tcBorders>
              <w:top w:val="single" w:color="000000" w:sz="4" w:space="0"/>
              <w:left w:val="single" w:color="000000" w:sz="4" w:space="0"/>
              <w:bottom w:val="single" w:color="000000" w:sz="4" w:space="0"/>
              <w:right w:val="single" w:color="000000" w:sz="4" w:space="0"/>
            </w:tcBorders>
            <w:shd w:val="clear"/>
            <w:noWrap/>
            <w:vAlign w:val="center"/>
          </w:tcPr>
          <w:p w14:paraId="0BCDFF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二级以上公立中医医院门诊和住院患者满意度（住院）</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4590140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≥97.5%</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5E47A0C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0.9929</w:t>
            </w:r>
          </w:p>
        </w:tc>
        <w:tc>
          <w:tcPr>
            <w:tcW w:w="136" w:type="pct"/>
            <w:tcBorders>
              <w:top w:val="single" w:color="000000" w:sz="4" w:space="0"/>
              <w:left w:val="single" w:color="000000" w:sz="4" w:space="0"/>
              <w:bottom w:val="single" w:color="000000" w:sz="4" w:space="0"/>
              <w:right w:val="single" w:color="000000" w:sz="4" w:space="0"/>
            </w:tcBorders>
            <w:shd w:val="clear"/>
            <w:noWrap/>
            <w:vAlign w:val="center"/>
          </w:tcPr>
          <w:p w14:paraId="2A79ACD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5</w:t>
            </w:r>
          </w:p>
        </w:tc>
        <w:tc>
          <w:tcPr>
            <w:tcW w:w="307" w:type="pct"/>
            <w:tcBorders>
              <w:top w:val="single" w:color="000000" w:sz="4" w:space="0"/>
              <w:left w:val="single" w:color="000000" w:sz="4" w:space="0"/>
              <w:bottom w:val="single" w:color="000000" w:sz="4" w:space="0"/>
              <w:right w:val="single" w:color="000000" w:sz="4" w:space="0"/>
            </w:tcBorders>
            <w:shd w:val="clear"/>
            <w:noWrap/>
            <w:vAlign w:val="center"/>
          </w:tcPr>
          <w:p w14:paraId="2019265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bdr w:val="none" w:color="auto" w:sz="0" w:space="0"/>
                <w:lang w:val="en-US" w:eastAsia="zh-CN" w:bidi="ar"/>
              </w:rPr>
              <w:t>5</w:t>
            </w:r>
          </w:p>
        </w:tc>
        <w:tc>
          <w:tcPr>
            <w:tcW w:w="991" w:type="pct"/>
            <w:tcBorders>
              <w:top w:val="single" w:color="000000" w:sz="4" w:space="0"/>
              <w:left w:val="single" w:color="000000" w:sz="4" w:space="0"/>
              <w:bottom w:val="single" w:color="000000" w:sz="4" w:space="0"/>
              <w:right w:val="single" w:color="000000" w:sz="4" w:space="0"/>
            </w:tcBorders>
            <w:shd w:val="clear"/>
            <w:vAlign w:val="center"/>
          </w:tcPr>
          <w:p w14:paraId="018957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评价细则：二级以上公立中医医院门诊和住院患者满意度（住院）达标得满分，若未达标，得分</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（实际值</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目标值）</w:t>
            </w:r>
            <w:r>
              <w:rPr>
                <w:rFonts w:ascii="Segoe UI" w:hAnsi="Segoe UI" w:eastAsia="Segoe UI" w:cs="Segoe UI"/>
                <w:i w:val="0"/>
                <w:iCs w:val="0"/>
                <w:color w:val="000000"/>
                <w:kern w:val="0"/>
                <w:sz w:val="18"/>
                <w:szCs w:val="18"/>
                <w:u w:val="none"/>
                <w:bdr w:val="none" w:color="auto" w:sz="0" w:space="0"/>
                <w:lang w:val="en-US" w:eastAsia="zh-CN" w:bidi="ar"/>
              </w:rPr>
              <w:t>×</w:t>
            </w:r>
            <w:r>
              <w:rPr>
                <w:rStyle w:val="15"/>
                <w:bdr w:val="none" w:color="auto" w:sz="0" w:space="0"/>
                <w:lang w:val="en-US" w:eastAsia="zh-CN" w:bidi="ar"/>
              </w:rPr>
              <w:t>分值</w:t>
            </w:r>
          </w:p>
        </w:tc>
        <w:tc>
          <w:tcPr>
            <w:tcW w:w="301" w:type="pct"/>
            <w:tcBorders>
              <w:top w:val="single" w:color="000000" w:sz="4" w:space="0"/>
              <w:left w:val="single" w:color="000000" w:sz="4" w:space="0"/>
              <w:bottom w:val="single" w:color="000000" w:sz="4" w:space="0"/>
              <w:right w:val="single" w:color="000000" w:sz="4" w:space="0"/>
            </w:tcBorders>
            <w:shd w:val="clear"/>
            <w:noWrap/>
            <w:vAlign w:val="center"/>
          </w:tcPr>
          <w:p w14:paraId="62F65028">
            <w:pPr>
              <w:jc w:val="left"/>
              <w:rPr>
                <w:rFonts w:hint="default" w:ascii="Segoe UI" w:hAnsi="Segoe UI" w:eastAsia="Segoe UI" w:cs="Segoe UI"/>
                <w:i w:val="0"/>
                <w:iCs w:val="0"/>
                <w:color w:val="000000"/>
                <w:sz w:val="18"/>
                <w:szCs w:val="18"/>
                <w:u w:val="none"/>
              </w:rPr>
            </w:pPr>
          </w:p>
        </w:tc>
      </w:tr>
      <w:tr w14:paraId="0887B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264" w:type="pct"/>
            <w:gridSpan w:val="5"/>
            <w:tcBorders>
              <w:top w:val="single" w:color="000000" w:sz="4" w:space="0"/>
              <w:left w:val="single" w:color="000000" w:sz="4" w:space="0"/>
              <w:bottom w:val="single" w:color="000000" w:sz="4" w:space="0"/>
              <w:right w:val="single" w:color="000000" w:sz="4" w:space="0"/>
            </w:tcBorders>
            <w:shd w:val="clear"/>
            <w:noWrap/>
            <w:vAlign w:val="center"/>
          </w:tcPr>
          <w:p w14:paraId="5F5867A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bdr w:val="none" w:color="auto" w:sz="0" w:space="0"/>
                <w:lang w:val="en-US" w:eastAsia="zh-CN" w:bidi="ar"/>
              </w:rPr>
            </w:pPr>
            <w:r>
              <w:rPr>
                <w:rFonts w:hint="eastAsia" w:ascii="Segoe UI" w:hAnsi="Segoe UI" w:eastAsia="Segoe UI" w:cs="Segoe UI"/>
                <w:i w:val="0"/>
                <w:iCs w:val="0"/>
                <w:color w:val="000000"/>
                <w:kern w:val="0"/>
                <w:sz w:val="18"/>
                <w:szCs w:val="18"/>
                <w:u w:val="none"/>
                <w:bdr w:val="none" w:color="auto" w:sz="0" w:space="0"/>
                <w:lang w:val="en-US" w:eastAsia="zh-CN" w:bidi="ar"/>
              </w:rPr>
              <w:t>合计</w:t>
            </w:r>
          </w:p>
        </w:tc>
        <w:tc>
          <w:tcPr>
            <w:tcW w:w="1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30F8">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757D">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eastAsia="宋体" w:cs="Times New Roman"/>
                <w:i w:val="0"/>
                <w:iCs w:val="0"/>
                <w:color w:val="000000"/>
                <w:kern w:val="0"/>
                <w:sz w:val="20"/>
                <w:szCs w:val="20"/>
                <w:u w:val="none"/>
                <w:lang w:val="en-US" w:eastAsia="zh-CN" w:bidi="ar"/>
              </w:rPr>
              <w:t>98</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6B330">
            <w:pPr>
              <w:rPr>
                <w:rFonts w:hint="eastAsia" w:ascii="Times New Roman" w:hAnsi="Times New Roman" w:eastAsia="宋体" w:cs="Times New Roman"/>
                <w:i w:val="0"/>
                <w:iCs w:val="0"/>
                <w:color w:val="000000"/>
                <w:kern w:val="2"/>
                <w:sz w:val="20"/>
                <w:szCs w:val="20"/>
                <w:u w:val="none"/>
                <w:lang w:val="en-US" w:eastAsia="zh-CN" w:bidi="ar-SA"/>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90F20">
            <w:pPr>
              <w:rPr>
                <w:rFonts w:hint="default" w:ascii="宋体" w:hAnsi="宋体" w:eastAsia="宋体" w:cs="宋体"/>
                <w:i w:val="0"/>
                <w:iCs w:val="0"/>
                <w:color w:val="000000"/>
                <w:kern w:val="2"/>
                <w:sz w:val="24"/>
                <w:szCs w:val="24"/>
                <w:u w:val="none"/>
                <w:lang w:val="en-US" w:eastAsia="zh-CN" w:bidi="ar-SA"/>
              </w:rPr>
            </w:pPr>
          </w:p>
        </w:tc>
      </w:tr>
    </w:tbl>
    <w:p w14:paraId="3626A4EB">
      <w:pPr>
        <w:pStyle w:val="3"/>
        <w:jc w:val="center"/>
        <w:rPr>
          <w:rFonts w:hint="eastAsia" w:ascii="方正小标宋_GBK" w:hAnsi="方正小标宋_GBK" w:eastAsia="方正小标宋_GBK" w:cs="方正小标宋_GBK"/>
          <w:b w:val="0"/>
          <w:bCs w:val="0"/>
          <w:color w:val="000000"/>
          <w:kern w:val="0"/>
          <w:sz w:val="32"/>
          <w:szCs w:val="32"/>
        </w:rPr>
      </w:pPr>
    </w:p>
    <w:sectPr>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egoe UI">
    <w:panose1 w:val="020B0502040204020203"/>
    <w:charset w:val="00"/>
    <w:family w:val="auto"/>
    <w:pitch w:val="default"/>
    <w:sig w:usb0="E10022FF" w:usb1="C000E47F" w:usb2="00000029" w:usb3="00000000" w:csb0="200001DF" w:csb1="2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B0CEBF"/>
    <w:multiLevelType w:val="singleLevel"/>
    <w:tmpl w:val="8EB0CEB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g2M2Y0YzJlMDZjOTZlYjQyY2FmMjQ5N2ZkMDEwMDcifQ=="/>
  </w:docVars>
  <w:rsids>
    <w:rsidRoot w:val="00382194"/>
    <w:rsid w:val="00261A15"/>
    <w:rsid w:val="00382194"/>
    <w:rsid w:val="004910BB"/>
    <w:rsid w:val="00563D27"/>
    <w:rsid w:val="005E5CBD"/>
    <w:rsid w:val="005F6DDB"/>
    <w:rsid w:val="007A0B62"/>
    <w:rsid w:val="00810D1B"/>
    <w:rsid w:val="00AB2972"/>
    <w:rsid w:val="00B91670"/>
    <w:rsid w:val="00BF4B46"/>
    <w:rsid w:val="00C53346"/>
    <w:rsid w:val="00D076A2"/>
    <w:rsid w:val="00D80BA6"/>
    <w:rsid w:val="00ED6988"/>
    <w:rsid w:val="00F126DE"/>
    <w:rsid w:val="04E70AC8"/>
    <w:rsid w:val="05145A95"/>
    <w:rsid w:val="0F097ABD"/>
    <w:rsid w:val="306C7698"/>
    <w:rsid w:val="30750896"/>
    <w:rsid w:val="4D9A4FD2"/>
    <w:rsid w:val="57CA2856"/>
    <w:rsid w:val="5BBC16DA"/>
    <w:rsid w:val="61575FB6"/>
    <w:rsid w:val="6D9A2855"/>
    <w:rsid w:val="71274B86"/>
    <w:rsid w:val="72942723"/>
    <w:rsid w:val="7EA60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0" w:after="0" w:line="408" w:lineRule="auto"/>
      <w:outlineLvl w:val="1"/>
    </w:pPr>
    <w:rPr>
      <w:b/>
      <w:bCs/>
      <w:color w:val="1A1A1A"/>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spacing w:before="149"/>
      <w:ind w:left="760"/>
    </w:pPr>
    <w:rPr>
      <w:sz w:val="32"/>
      <w:szCs w:val="32"/>
    </w:rPr>
  </w:style>
  <w:style w:type="paragraph" w:styleId="4">
    <w:name w:val="footer"/>
    <w:basedOn w:val="1"/>
    <w:next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font01"/>
    <w:basedOn w:val="7"/>
    <w:qFormat/>
    <w:uiPriority w:val="0"/>
    <w:rPr>
      <w:rFonts w:hint="eastAsia" w:ascii="宋体" w:hAnsi="宋体" w:eastAsia="宋体" w:cs="宋体"/>
      <w:color w:val="000000"/>
      <w:sz w:val="22"/>
      <w:szCs w:val="22"/>
      <w:u w:val="none"/>
    </w:rPr>
  </w:style>
  <w:style w:type="character" w:customStyle="1" w:styleId="11">
    <w:name w:val="font21"/>
    <w:basedOn w:val="7"/>
    <w:qFormat/>
    <w:uiPriority w:val="0"/>
    <w:rPr>
      <w:rFonts w:hint="default" w:ascii="Segoe UI" w:hAnsi="Segoe UI" w:eastAsia="Segoe UI" w:cs="Segoe UI"/>
      <w:color w:val="000000"/>
      <w:sz w:val="22"/>
      <w:szCs w:val="22"/>
      <w:u w:val="none"/>
    </w:rPr>
  </w:style>
  <w:style w:type="character" w:customStyle="1" w:styleId="12">
    <w:name w:val="font41"/>
    <w:basedOn w:val="7"/>
    <w:qFormat/>
    <w:uiPriority w:val="0"/>
    <w:rPr>
      <w:rFonts w:hint="default" w:ascii="Segoe UI" w:hAnsi="Segoe UI" w:eastAsia="Segoe UI" w:cs="Segoe UI"/>
      <w:color w:val="000000"/>
      <w:sz w:val="22"/>
      <w:szCs w:val="22"/>
      <w:u w:val="none"/>
    </w:rPr>
  </w:style>
  <w:style w:type="character" w:customStyle="1" w:styleId="13">
    <w:name w:val="font51"/>
    <w:basedOn w:val="7"/>
    <w:qFormat/>
    <w:uiPriority w:val="0"/>
    <w:rPr>
      <w:rFonts w:hint="eastAsia" w:ascii="宋体" w:hAnsi="宋体" w:eastAsia="宋体" w:cs="宋体"/>
      <w:color w:val="000000"/>
      <w:sz w:val="22"/>
      <w:szCs w:val="22"/>
      <w:u w:val="none"/>
    </w:rPr>
  </w:style>
  <w:style w:type="character" w:customStyle="1" w:styleId="14">
    <w:name w:val="NormalCharacter"/>
    <w:link w:val="1"/>
    <w:autoRedefine/>
    <w:qFormat/>
    <w:uiPriority w:val="99"/>
    <w:rPr>
      <w:rFonts w:asciiTheme="minorHAnsi" w:hAnsiTheme="minorHAnsi" w:eastAsiaTheme="minorEastAsia" w:cstheme="minorBidi"/>
      <w:kern w:val="2"/>
      <w:sz w:val="21"/>
      <w:szCs w:val="22"/>
      <w:lang w:val="en-US" w:eastAsia="zh-CN" w:bidi="ar-SA"/>
    </w:rPr>
  </w:style>
  <w:style w:type="character" w:customStyle="1" w:styleId="15">
    <w:name w:val="font31"/>
    <w:basedOn w:val="7"/>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12</Pages>
  <Words>5757</Words>
  <Characters>6396</Characters>
  <Lines>6</Lines>
  <Paragraphs>1</Paragraphs>
  <TotalTime>38</TotalTime>
  <ScaleCrop>false</ScaleCrop>
  <LinksUpToDate>false</LinksUpToDate>
  <CharactersWithSpaces>6447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2021-06-10T09:08:00Z</dcterms:created>
  <dc:creator>lys</dc:creator>
  <cp:lastModifiedBy>微微珊</cp:lastModifiedBy>
  <dcterms:modified xsi:type="dcterms:W3CDTF">2025-06-28T06:59:27Z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41278F6894564477B4CE7DE76BBDC28F_12</vt:lpwstr>
  </property>
  <property fmtid="{D5CDD505-2E9C-101B-9397-08002B2CF9AE}" pid="4" name="KSOTemplateDocerSaveRecord">
    <vt:lpwstr>eyJoZGlkIjoiZTg2M2Y0YzJlMDZjOTZlYjQyY2FmMjQ5N2ZkMDEwMDciLCJ1c2VySWQiOiI0MzYwMjI4MzEifQ==</vt:lpwstr>
  </property>
</Properties>
</file>