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31" w:lineRule="atLeast"/>
        <w:ind w:firstLine="0" w:firstLineChars="0"/>
        <w:jc w:val="center"/>
        <w:rPr>
          <w:rFonts w:ascii="微软雅黑" w:hAnsi="微软雅黑" w:eastAsia="微软雅黑" w:cs="宋体"/>
          <w:kern w:val="0"/>
          <w:sz w:val="36"/>
          <w:szCs w:val="36"/>
        </w:rPr>
      </w:pPr>
      <w:r>
        <w:rPr>
          <w:rFonts w:hint="eastAsia" w:ascii="微软雅黑" w:hAnsi="微软雅黑" w:eastAsia="微软雅黑" w:cs="宋体"/>
          <w:kern w:val="0"/>
          <w:sz w:val="36"/>
          <w:szCs w:val="36"/>
        </w:rPr>
        <w:t>关于进一步推进医师电子化信息管理工作的通知</w:t>
      </w:r>
    </w:p>
    <w:p>
      <w:pPr>
        <w:widowControl/>
        <w:ind w:firstLine="0" w:firstLineChars="0"/>
        <w:jc w:val="center"/>
        <w:rPr>
          <w:rFonts w:hint="eastAsia" w:ascii="仿宋" w:hAnsi="仿宋" w:eastAsia="仿宋" w:cs="宋体"/>
          <w:color w:val="000000"/>
          <w:kern w:val="0"/>
          <w:szCs w:val="32"/>
        </w:rPr>
      </w:pPr>
      <w:r>
        <w:rPr>
          <w:rFonts w:hint="eastAsia" w:ascii="仿宋" w:hAnsi="仿宋" w:eastAsia="仿宋" w:cs="宋体"/>
          <w:color w:val="484848"/>
          <w:kern w:val="0"/>
          <w:szCs w:val="32"/>
        </w:rPr>
        <w:t>国卫办医政发〔2024〕5号</w:t>
      </w:r>
    </w:p>
    <w:p>
      <w:pPr>
        <w:widowControl/>
        <w:ind w:firstLine="480" w:firstLineChars="0"/>
        <w:rPr>
          <w:rFonts w:hint="eastAsia" w:ascii="仿宋" w:hAnsi="仿宋" w:eastAsia="仿宋" w:cs="宋体"/>
          <w:color w:val="000000"/>
          <w:kern w:val="0"/>
          <w:szCs w:val="32"/>
        </w:rPr>
      </w:pPr>
    </w:p>
    <w:p>
      <w:pPr>
        <w:widowControl/>
        <w:ind w:firstLine="0" w:firstLineChars="0"/>
        <w:rPr>
          <w:rFonts w:hint="eastAsia" w:ascii="仿宋" w:hAnsi="仿宋" w:eastAsia="仿宋" w:cs="宋体"/>
          <w:color w:val="000000"/>
          <w:kern w:val="0"/>
          <w:szCs w:val="32"/>
        </w:rPr>
      </w:pPr>
      <w:r>
        <w:rPr>
          <w:rFonts w:hint="eastAsia" w:ascii="仿宋" w:hAnsi="仿宋" w:eastAsia="仿宋" w:cs="宋体"/>
          <w:color w:val="484848"/>
          <w:kern w:val="0"/>
          <w:szCs w:val="32"/>
        </w:rPr>
        <w:t>各省、自治区、直辖市及新疆生产建设兵团卫生健康委、中医药局、疾控局：</w:t>
      </w:r>
    </w:p>
    <w:p>
      <w:pPr>
        <w:widowControl/>
        <w:ind w:firstLine="480" w:firstLineChars="0"/>
        <w:rPr>
          <w:rFonts w:hint="eastAsia" w:ascii="仿宋" w:hAnsi="仿宋" w:eastAsia="仿宋" w:cs="宋体"/>
          <w:color w:val="000000"/>
          <w:kern w:val="0"/>
          <w:szCs w:val="32"/>
        </w:rPr>
      </w:pPr>
      <w:r>
        <w:rPr>
          <w:rFonts w:hint="eastAsia" w:ascii="仿宋" w:hAnsi="仿宋" w:eastAsia="仿宋" w:cs="宋体"/>
          <w:color w:val="484848"/>
          <w:kern w:val="0"/>
          <w:szCs w:val="32"/>
        </w:rPr>
        <w:t>为深入贯彻落实国务院关于加快推进“互联网+政务服务”有关部署和《国务院办公厅关于加快推进电子证照扩大应用领域和全国互通互认的意见》（国办发〔2022〕3号），进一步推进医师电子化信息管理，提升政务服务水平与效率，现通知如下：</w:t>
      </w:r>
    </w:p>
    <w:p>
      <w:pPr>
        <w:widowControl/>
        <w:ind w:firstLine="480" w:firstLineChars="0"/>
        <w:rPr>
          <w:rFonts w:hint="eastAsia" w:ascii="宋体" w:hAnsi="宋体" w:eastAsia="宋体" w:cs="宋体"/>
          <w:color w:val="000000"/>
          <w:kern w:val="0"/>
          <w:szCs w:val="32"/>
        </w:rPr>
      </w:pPr>
      <w:r>
        <w:rPr>
          <w:rFonts w:hint="eastAsia" w:ascii="黑体" w:hAnsi="黑体" w:eastAsia="黑体" w:cs="宋体"/>
          <w:color w:val="484848"/>
          <w:kern w:val="0"/>
          <w:szCs w:val="32"/>
        </w:rPr>
        <w:t>一、提高思想认识，强化管理责任</w:t>
      </w:r>
    </w:p>
    <w:p>
      <w:pPr>
        <w:widowControl/>
        <w:ind w:firstLine="480" w:firstLineChars="0"/>
        <w:rPr>
          <w:rFonts w:hint="eastAsia" w:ascii="仿宋" w:hAnsi="仿宋" w:eastAsia="仿宋" w:cs="宋体"/>
          <w:color w:val="000000"/>
          <w:kern w:val="0"/>
          <w:szCs w:val="32"/>
        </w:rPr>
      </w:pPr>
      <w:r>
        <w:rPr>
          <w:rFonts w:hint="eastAsia" w:ascii="仿宋" w:hAnsi="仿宋" w:eastAsia="仿宋" w:cs="宋体"/>
          <w:color w:val="484848"/>
          <w:kern w:val="0"/>
          <w:szCs w:val="32"/>
        </w:rPr>
        <w:t>加强医师电子化信息管理是实现医师信息精细化管理，提升医疗资源管理效率的重要手段。各级卫生健康行政部门（含中医药主管部门，下同）要充分认识医师电子化信息管理工作的重要意义，在加强医疗机构、医师与护士电子化注册信息平台建设基础上，运用信息化手段强化医师信息管理，全面掌握医师执业相关信息，统筹做好医师队伍建设。</w:t>
      </w:r>
    </w:p>
    <w:p>
      <w:pPr>
        <w:widowControl/>
        <w:ind w:firstLine="480" w:firstLineChars="0"/>
        <w:rPr>
          <w:rFonts w:hint="eastAsia" w:ascii="宋体" w:hAnsi="宋体" w:eastAsia="宋体" w:cs="宋体"/>
          <w:color w:val="000000"/>
          <w:kern w:val="0"/>
          <w:szCs w:val="32"/>
        </w:rPr>
      </w:pPr>
      <w:r>
        <w:rPr>
          <w:rFonts w:hint="eastAsia" w:ascii="黑体" w:hAnsi="黑体" w:eastAsia="黑体" w:cs="宋体"/>
          <w:color w:val="484848"/>
          <w:kern w:val="0"/>
          <w:szCs w:val="32"/>
        </w:rPr>
        <w:t>二、强化信息管理，统筹数据资源</w:t>
      </w:r>
    </w:p>
    <w:p>
      <w:pPr>
        <w:widowControl/>
        <w:ind w:firstLine="480" w:firstLineChars="0"/>
        <w:rPr>
          <w:rFonts w:hint="eastAsia" w:ascii="仿宋" w:hAnsi="仿宋" w:eastAsia="仿宋" w:cs="宋体"/>
          <w:color w:val="000000"/>
          <w:kern w:val="0"/>
          <w:szCs w:val="32"/>
        </w:rPr>
      </w:pPr>
      <w:r>
        <w:rPr>
          <w:rFonts w:hint="eastAsia" w:ascii="仿宋" w:hAnsi="仿宋" w:eastAsia="仿宋" w:cs="宋体"/>
          <w:b/>
          <w:bCs/>
          <w:color w:val="484848"/>
          <w:kern w:val="0"/>
          <w:szCs w:val="32"/>
        </w:rPr>
        <w:t>（一）丰富信息管理手段。</w:t>
      </w:r>
      <w:r>
        <w:rPr>
          <w:rFonts w:hint="eastAsia" w:ascii="仿宋" w:hAnsi="仿宋" w:eastAsia="仿宋" w:cs="宋体"/>
          <w:color w:val="484848"/>
          <w:kern w:val="0"/>
          <w:szCs w:val="32"/>
        </w:rPr>
        <w:t>在电子化注册系统应用电脑终端基础上，国家卫生健康委组织开发并上线运行了“医通办”APP，为医师提供手机端登录电子化注册系统途径，便利医师提交业务办理申请、更新执业信息。医师可在相应手机应用平台下载安装，并进行人脸识别实名认证，确保账户安全使用。我委将通过“医通办”医师电子化信息平台及时公开相关法律法规、政策文件、办事指南，提供无差异的政务服务。</w:t>
      </w:r>
    </w:p>
    <w:p>
      <w:pPr>
        <w:widowControl/>
        <w:ind w:firstLine="480" w:firstLineChars="0"/>
        <w:rPr>
          <w:rFonts w:hint="eastAsia" w:ascii="仿宋" w:hAnsi="仿宋" w:eastAsia="仿宋" w:cs="宋体"/>
          <w:color w:val="000000"/>
          <w:kern w:val="0"/>
          <w:szCs w:val="32"/>
        </w:rPr>
      </w:pPr>
      <w:r>
        <w:rPr>
          <w:rFonts w:hint="eastAsia" w:ascii="仿宋" w:hAnsi="仿宋" w:eastAsia="仿宋" w:cs="宋体"/>
          <w:b/>
          <w:bCs/>
          <w:color w:val="484848"/>
          <w:kern w:val="0"/>
          <w:szCs w:val="32"/>
        </w:rPr>
        <w:t>（二）强化执业信息管理。</w:t>
      </w:r>
      <w:r>
        <w:rPr>
          <w:rFonts w:hint="eastAsia" w:ascii="仿宋" w:hAnsi="仿宋" w:eastAsia="仿宋" w:cs="宋体"/>
          <w:color w:val="484848"/>
          <w:kern w:val="0"/>
          <w:szCs w:val="32"/>
        </w:rPr>
        <w:t>各级卫生健康行政部门要积极鼓励动员医师在手机端下载使用“医通办”APP，办理执业信息变更等业务。引导医师通过“医通办”医师电子化注册系统建立个人执业档案，定期更新个人执业相关信息，逐步形成完整、实时个人执业档案。各级卫生健康行政部门要及时核实医师注册信息，激活静态数据，清理无效数据，定期分析电子化注册系统中相关医疗资源配置、运维情况，动态掌握医师队伍数量、结构、科室分布等信息，提高宏观决策科学性和微观管理精准性。</w:t>
      </w:r>
    </w:p>
    <w:p>
      <w:pPr>
        <w:widowControl/>
        <w:ind w:firstLine="480" w:firstLineChars="0"/>
        <w:rPr>
          <w:rFonts w:hint="eastAsia" w:ascii="仿宋" w:hAnsi="仿宋" w:eastAsia="仿宋" w:cs="宋体"/>
          <w:color w:val="000000"/>
          <w:kern w:val="0"/>
          <w:szCs w:val="32"/>
        </w:rPr>
      </w:pPr>
      <w:r>
        <w:rPr>
          <w:rFonts w:hint="eastAsia" w:ascii="仿宋" w:hAnsi="仿宋" w:eastAsia="仿宋" w:cs="宋体"/>
          <w:b/>
          <w:bCs/>
          <w:color w:val="484848"/>
          <w:kern w:val="0"/>
          <w:szCs w:val="32"/>
        </w:rPr>
        <w:t>（三）完善信息共享机制。</w:t>
      </w:r>
      <w:r>
        <w:rPr>
          <w:rFonts w:hint="eastAsia" w:ascii="仿宋" w:hAnsi="仿宋" w:eastAsia="仿宋" w:cs="宋体"/>
          <w:color w:val="484848"/>
          <w:kern w:val="0"/>
          <w:szCs w:val="32"/>
        </w:rPr>
        <w:t>在信息安全、保护隐私、责任明晰的前提下，推动医师电子化注册系统电脑端、手机端有序开放，逐步实现与全民健康信息平台、“互联网+政务服务”平台、医师资格考试、医师定期考核、教育培训、卫生健康监督等信息平台互联互通与资源共享，为健康规划、资源配置、人才培养等提供技术支持和决策依据。</w:t>
      </w:r>
    </w:p>
    <w:p>
      <w:pPr>
        <w:widowControl/>
        <w:ind w:firstLine="480" w:firstLineChars="0"/>
        <w:rPr>
          <w:rFonts w:hint="eastAsia" w:ascii="仿宋" w:hAnsi="仿宋" w:eastAsia="仿宋" w:cs="宋体"/>
          <w:color w:val="000000"/>
          <w:kern w:val="0"/>
          <w:szCs w:val="32"/>
        </w:rPr>
      </w:pPr>
      <w:r>
        <w:rPr>
          <w:rFonts w:hint="eastAsia" w:ascii="仿宋" w:hAnsi="仿宋" w:eastAsia="仿宋" w:cs="宋体"/>
          <w:b/>
          <w:bCs/>
          <w:color w:val="484848"/>
          <w:kern w:val="0"/>
          <w:szCs w:val="32"/>
        </w:rPr>
        <w:t>（四）确保信息数据安全。</w:t>
      </w:r>
      <w:r>
        <w:rPr>
          <w:rFonts w:hint="eastAsia" w:ascii="仿宋" w:hAnsi="仿宋" w:eastAsia="仿宋" w:cs="宋体"/>
          <w:color w:val="484848"/>
          <w:kern w:val="0"/>
          <w:szCs w:val="32"/>
        </w:rPr>
        <w:t>各省级卫生健康行政部门要优化整合、升级维护现有医师电子化注册系统，确保与国家电子化注册系统实时互联互通。要落实电子密钥管理制度，及时掌握电子密钥发放使用情况。各地要落实数据安全管理责任制，加强数据安全监测和预警，定期开展安全性评测和风险评估，做好数据容灾备份，确保电子化注册系统数据信息安全。</w:t>
      </w:r>
    </w:p>
    <w:p>
      <w:pPr>
        <w:widowControl/>
        <w:ind w:firstLine="480" w:firstLineChars="0"/>
        <w:rPr>
          <w:rFonts w:hint="eastAsia" w:ascii="宋体" w:hAnsi="宋体" w:eastAsia="宋体" w:cs="宋体"/>
          <w:color w:val="000000"/>
          <w:kern w:val="0"/>
          <w:szCs w:val="32"/>
        </w:rPr>
      </w:pPr>
      <w:r>
        <w:rPr>
          <w:rFonts w:hint="eastAsia" w:ascii="黑体" w:hAnsi="黑体" w:eastAsia="黑体" w:cs="宋体"/>
          <w:color w:val="484848"/>
          <w:kern w:val="0"/>
          <w:szCs w:val="32"/>
        </w:rPr>
        <w:t>三、优化政务服务，提升管理水平</w:t>
      </w:r>
    </w:p>
    <w:p>
      <w:pPr>
        <w:widowControl/>
        <w:ind w:firstLine="480" w:firstLineChars="0"/>
        <w:rPr>
          <w:rFonts w:hint="eastAsia" w:ascii="仿宋" w:hAnsi="仿宋" w:eastAsia="仿宋" w:cs="宋体"/>
          <w:color w:val="000000"/>
          <w:kern w:val="0"/>
          <w:szCs w:val="32"/>
        </w:rPr>
      </w:pPr>
      <w:r>
        <w:rPr>
          <w:rFonts w:hint="eastAsia" w:ascii="仿宋" w:hAnsi="仿宋" w:eastAsia="仿宋" w:cs="宋体"/>
          <w:b/>
          <w:bCs/>
          <w:color w:val="484848"/>
          <w:kern w:val="0"/>
          <w:szCs w:val="32"/>
        </w:rPr>
        <w:t>（一）改进网上服务模式。</w:t>
      </w:r>
      <w:r>
        <w:rPr>
          <w:rFonts w:hint="eastAsia" w:ascii="仿宋" w:hAnsi="仿宋" w:eastAsia="仿宋" w:cs="宋体"/>
          <w:color w:val="484848"/>
          <w:kern w:val="0"/>
          <w:szCs w:val="32"/>
        </w:rPr>
        <w:t>医师可通过医师电子化注册系统电脑端、手机端办理医师执业注册相关业务，申领、展示、使用电子证照。医师所在主执业机构负责本机构医师执业信息的核查确认。地方卫生健康行政部门负责辖区内医师电子化信息修改、管理。真正做到优流程、减材料、缩时限，提升政务办理效率。</w:t>
      </w:r>
    </w:p>
    <w:p>
      <w:pPr>
        <w:widowControl/>
        <w:ind w:firstLine="480" w:firstLineChars="0"/>
        <w:rPr>
          <w:rFonts w:hint="eastAsia" w:ascii="仿宋" w:hAnsi="仿宋" w:eastAsia="仿宋" w:cs="宋体"/>
          <w:color w:val="000000"/>
          <w:kern w:val="0"/>
          <w:szCs w:val="32"/>
        </w:rPr>
      </w:pPr>
      <w:r>
        <w:rPr>
          <w:rFonts w:hint="eastAsia" w:ascii="仿宋" w:hAnsi="仿宋" w:eastAsia="仿宋" w:cs="宋体"/>
          <w:b/>
          <w:bCs/>
          <w:color w:val="484848"/>
          <w:kern w:val="0"/>
          <w:szCs w:val="32"/>
        </w:rPr>
        <w:t>（二）强化数据信息管理。</w:t>
      </w:r>
      <w:r>
        <w:rPr>
          <w:rFonts w:hint="eastAsia" w:ascii="仿宋" w:hAnsi="仿宋" w:eastAsia="仿宋" w:cs="宋体"/>
          <w:color w:val="484848"/>
          <w:kern w:val="0"/>
          <w:szCs w:val="32"/>
        </w:rPr>
        <w:t>各省级卫生健康行政部门要依托电子化注册系统，建立全范围覆盖、全过程记录、全数据监督的行政审批运行监管机制，对医师执业注册的申请、受理、审核和决定等关键环节、廉政风险点做到可监控、可追溯。各地要加强对行政审批工作人员、医疗机构及医师培训，保证医师执业信息真实、数据准确。</w:t>
      </w:r>
    </w:p>
    <w:p>
      <w:pPr>
        <w:widowControl/>
        <w:ind w:firstLine="480" w:firstLineChars="0"/>
        <w:rPr>
          <w:rFonts w:hint="eastAsia" w:ascii="仿宋" w:hAnsi="仿宋" w:eastAsia="仿宋" w:cs="宋体"/>
          <w:color w:val="000000"/>
          <w:kern w:val="0"/>
          <w:szCs w:val="32"/>
        </w:rPr>
      </w:pPr>
      <w:r>
        <w:rPr>
          <w:rFonts w:hint="eastAsia" w:ascii="仿宋" w:hAnsi="仿宋" w:eastAsia="仿宋" w:cs="宋体"/>
          <w:b/>
          <w:bCs/>
          <w:color w:val="484848"/>
          <w:kern w:val="0"/>
          <w:szCs w:val="32"/>
        </w:rPr>
        <w:t>（三）拓展电子证照应用。</w:t>
      </w:r>
      <w:r>
        <w:rPr>
          <w:rFonts w:hint="eastAsia" w:ascii="仿宋" w:hAnsi="仿宋" w:eastAsia="仿宋" w:cs="宋体"/>
          <w:color w:val="484848"/>
          <w:kern w:val="0"/>
          <w:szCs w:val="32"/>
        </w:rPr>
        <w:t>继续并行使用医师电子证照和现行证照，两者具有同等效力。鼓励地方不断拓展电子证照应用场景。省级卫生健康行政部门在互联网医师管理和互联网诊疗监管工作中加强电子证照的应用。有条件的医疗机构可将医师电子证照公示纳入院务公开项目，在门诊候诊系统、科室专家介绍、互联网诊疗平台等主动展示医师电子证照，方便患者查询相关信息。地方卫生健康行政部门要加强与医保、文化和旅游等部门协调，进一步拓展医师电子证照在医保管理、文化和旅游等领域的场景应用。</w:t>
      </w:r>
    </w:p>
    <w:p>
      <w:pPr>
        <w:widowControl/>
        <w:ind w:firstLine="480" w:firstLineChars="0"/>
        <w:rPr>
          <w:rFonts w:hint="eastAsia" w:ascii="仿宋" w:hAnsi="仿宋" w:eastAsia="仿宋" w:cs="宋体"/>
          <w:color w:val="000000"/>
          <w:kern w:val="0"/>
          <w:szCs w:val="32"/>
        </w:rPr>
      </w:pPr>
      <w:r>
        <w:rPr>
          <w:rFonts w:hint="eastAsia" w:ascii="仿宋" w:hAnsi="仿宋" w:eastAsia="仿宋" w:cs="宋体"/>
          <w:b/>
          <w:bCs/>
          <w:color w:val="484848"/>
          <w:kern w:val="0"/>
          <w:szCs w:val="32"/>
        </w:rPr>
        <w:t>（四）完善信息查询制度。</w:t>
      </w:r>
      <w:r>
        <w:rPr>
          <w:rFonts w:hint="eastAsia" w:ascii="仿宋" w:hAnsi="仿宋" w:eastAsia="仿宋" w:cs="宋体"/>
          <w:color w:val="484848"/>
          <w:kern w:val="0"/>
          <w:szCs w:val="32"/>
        </w:rPr>
        <w:t>医师可通过医师电子化注册系统电脑端、手机端提交相关业务申请，实时查询有关事项办理状态和结果，维护个人执业档案。社会公众可通过国家卫生健康委官网、“医通办”APP便捷查询有关医师信息，获取看病就医相关信息服务。</w:t>
      </w:r>
    </w:p>
    <w:p>
      <w:pPr>
        <w:widowControl/>
        <w:ind w:firstLine="480" w:firstLineChars="0"/>
        <w:rPr>
          <w:rFonts w:hint="eastAsia" w:ascii="宋体" w:hAnsi="宋体" w:eastAsia="宋体" w:cs="宋体"/>
          <w:color w:val="000000"/>
          <w:kern w:val="0"/>
          <w:szCs w:val="32"/>
        </w:rPr>
      </w:pPr>
      <w:r>
        <w:rPr>
          <w:rFonts w:hint="eastAsia" w:ascii="黑体" w:hAnsi="黑体" w:eastAsia="黑体" w:cs="宋体"/>
          <w:color w:val="484848"/>
          <w:kern w:val="0"/>
          <w:szCs w:val="32"/>
        </w:rPr>
        <w:t>四、工作要求</w:t>
      </w:r>
    </w:p>
    <w:p>
      <w:pPr>
        <w:widowControl/>
        <w:ind w:firstLine="480" w:firstLineChars="0"/>
        <w:rPr>
          <w:rFonts w:hint="eastAsia" w:ascii="仿宋" w:hAnsi="仿宋" w:eastAsia="仿宋" w:cs="宋体"/>
          <w:color w:val="000000"/>
          <w:kern w:val="0"/>
          <w:szCs w:val="32"/>
        </w:rPr>
      </w:pPr>
      <w:r>
        <w:rPr>
          <w:rFonts w:hint="eastAsia" w:ascii="仿宋" w:hAnsi="仿宋" w:eastAsia="仿宋" w:cs="宋体"/>
          <w:b/>
          <w:bCs/>
          <w:color w:val="484848"/>
          <w:kern w:val="0"/>
          <w:szCs w:val="32"/>
        </w:rPr>
        <w:t>（一）加强组织领导。</w:t>
      </w:r>
      <w:r>
        <w:rPr>
          <w:rFonts w:hint="eastAsia" w:ascii="仿宋" w:hAnsi="仿宋" w:eastAsia="仿宋" w:cs="宋体"/>
          <w:color w:val="484848"/>
          <w:kern w:val="0"/>
          <w:szCs w:val="32"/>
        </w:rPr>
        <w:t>各级卫生健康行政部门要高度重视，细化政策措施、明确责任分工。中医药主管部门、疾控部门依职责加强中医类别医师、公共卫生医师电子化信息管理。部门各司其职，组织医师尽快安装使用“医通办”APP。持续推动医师电子化注册和信息管理工作，全面掌握辖区内医师资源信息。</w:t>
      </w:r>
    </w:p>
    <w:p>
      <w:pPr>
        <w:widowControl/>
        <w:ind w:firstLine="480" w:firstLineChars="0"/>
        <w:rPr>
          <w:rFonts w:hint="eastAsia" w:ascii="仿宋" w:hAnsi="仿宋" w:eastAsia="仿宋" w:cs="宋体"/>
          <w:color w:val="000000"/>
          <w:kern w:val="0"/>
          <w:szCs w:val="32"/>
        </w:rPr>
      </w:pPr>
      <w:r>
        <w:rPr>
          <w:rFonts w:hint="eastAsia" w:ascii="仿宋" w:hAnsi="仿宋" w:eastAsia="仿宋" w:cs="宋体"/>
          <w:b/>
          <w:bCs/>
          <w:color w:val="484848"/>
          <w:kern w:val="0"/>
          <w:szCs w:val="32"/>
        </w:rPr>
        <w:t>（二）坚持问题导向。</w:t>
      </w:r>
      <w:r>
        <w:rPr>
          <w:rFonts w:hint="eastAsia" w:ascii="仿宋" w:hAnsi="仿宋" w:eastAsia="仿宋" w:cs="宋体"/>
          <w:color w:val="484848"/>
          <w:kern w:val="0"/>
          <w:szCs w:val="32"/>
        </w:rPr>
        <w:t>“医通办”APP系统是现有电子化注册系统功能的升级、拓展。要定期评估进展情况，及时研究解决实践中遇到的新情况、新问题和新困难。需要技术支持的，及时与国家医师电子化注册系统技术部门联系（电话：010-62197928，工作日9:00-17:30）。</w:t>
      </w:r>
    </w:p>
    <w:p>
      <w:pPr>
        <w:widowControl/>
        <w:ind w:firstLine="480" w:firstLineChars="0"/>
        <w:rPr>
          <w:rFonts w:hint="eastAsia" w:ascii="仿宋" w:hAnsi="仿宋" w:eastAsia="仿宋" w:cs="宋体"/>
          <w:color w:val="484848"/>
          <w:kern w:val="0"/>
          <w:szCs w:val="32"/>
        </w:rPr>
      </w:pPr>
      <w:r>
        <w:rPr>
          <w:rFonts w:hint="eastAsia" w:ascii="仿宋" w:hAnsi="仿宋" w:eastAsia="仿宋" w:cs="宋体"/>
          <w:b/>
          <w:bCs/>
          <w:color w:val="484848"/>
          <w:kern w:val="0"/>
          <w:szCs w:val="32"/>
        </w:rPr>
        <w:t>（三）加强宣贯培训。</w:t>
      </w:r>
      <w:r>
        <w:rPr>
          <w:rFonts w:hint="eastAsia" w:ascii="仿宋" w:hAnsi="仿宋" w:eastAsia="仿宋" w:cs="宋体"/>
          <w:color w:val="484848"/>
          <w:kern w:val="0"/>
          <w:szCs w:val="32"/>
        </w:rPr>
        <w:t>各级卫生健康行政部门要积极宣传电子化注册、信息化管理的重要意义，加强政策解读与技术培训，引导医师使用好电子注册系统，主动建立维护个人执业档案。积极回应社会关切，营造良好社会氛围。</w:t>
      </w:r>
    </w:p>
    <w:p>
      <w:pPr>
        <w:widowControl/>
        <w:ind w:firstLine="480" w:firstLineChars="0"/>
        <w:rPr>
          <w:rFonts w:hint="eastAsia" w:ascii="仿宋" w:hAnsi="仿宋" w:eastAsia="仿宋" w:cs="宋体"/>
          <w:color w:val="484848"/>
          <w:kern w:val="0"/>
          <w:szCs w:val="32"/>
        </w:rPr>
      </w:pPr>
    </w:p>
    <w:p>
      <w:pPr>
        <w:widowControl/>
        <w:ind w:firstLine="480" w:firstLineChars="0"/>
        <w:rPr>
          <w:rFonts w:hint="eastAsia" w:ascii="仿宋" w:hAnsi="仿宋" w:eastAsia="仿宋" w:cs="宋体"/>
          <w:color w:val="484848"/>
          <w:kern w:val="0"/>
          <w:szCs w:val="32"/>
        </w:rPr>
      </w:pPr>
    </w:p>
    <w:p>
      <w:pPr>
        <w:widowControl/>
        <w:ind w:firstLine="480" w:firstLineChars="0"/>
        <w:jc w:val="right"/>
        <w:rPr>
          <w:rFonts w:hint="eastAsia" w:ascii="仿宋" w:hAnsi="仿宋" w:eastAsia="仿宋" w:cs="宋体"/>
          <w:color w:val="000000"/>
          <w:kern w:val="0"/>
          <w:szCs w:val="32"/>
        </w:rPr>
      </w:pPr>
      <w:r>
        <w:rPr>
          <w:rFonts w:ascii="仿宋" w:hAnsi="仿宋" w:eastAsia="仿宋" w:cs="仿宋"/>
          <w:i w:val="0"/>
          <w:iCs w:val="0"/>
          <w:caps w:val="0"/>
          <w:color w:val="484848"/>
          <w:spacing w:val="0"/>
          <w:sz w:val="32"/>
          <w:szCs w:val="32"/>
        </w:rPr>
        <w:t>国家卫生健康委办公厅  国家中医药局综合司</w:t>
      </w:r>
    </w:p>
    <w:p>
      <w:pPr>
        <w:widowControl/>
        <w:ind w:firstLine="480" w:firstLineChars="0"/>
        <w:jc w:val="right"/>
        <w:rPr>
          <w:rFonts w:hint="eastAsia" w:ascii="仿宋" w:hAnsi="仿宋" w:eastAsia="仿宋" w:cs="宋体"/>
          <w:color w:val="484848"/>
          <w:kern w:val="0"/>
          <w:szCs w:val="32"/>
        </w:rPr>
      </w:pPr>
      <w:r>
        <w:rPr>
          <w:rFonts w:hint="eastAsia" w:ascii="仿宋" w:hAnsi="仿宋" w:eastAsia="仿宋" w:cs="宋体"/>
          <w:color w:val="484848"/>
          <w:kern w:val="0"/>
          <w:szCs w:val="32"/>
        </w:rPr>
        <w:t>国家疾控局综合司</w:t>
      </w:r>
      <w:bookmarkStart w:id="0" w:name="_GoBack"/>
      <w:bookmarkEnd w:id="0"/>
    </w:p>
    <w:p>
      <w:pPr>
        <w:widowControl/>
        <w:ind w:firstLine="480" w:firstLineChars="0"/>
        <w:jc w:val="right"/>
        <w:rPr>
          <w:rFonts w:hint="eastAsia" w:ascii="仿宋" w:hAnsi="仿宋" w:eastAsia="仿宋" w:cs="宋体"/>
          <w:color w:val="484848"/>
          <w:kern w:val="0"/>
          <w:szCs w:val="32"/>
        </w:rPr>
      </w:pPr>
      <w:r>
        <w:rPr>
          <w:rFonts w:hint="eastAsia" w:ascii="仿宋" w:hAnsi="仿宋" w:eastAsia="仿宋" w:cs="宋体"/>
          <w:color w:val="484848"/>
          <w:kern w:val="0"/>
          <w:szCs w:val="32"/>
        </w:rPr>
        <w:t>2024年3月19日</w:t>
      </w:r>
    </w:p>
    <w:p>
      <w:pPr>
        <w:widowControl/>
        <w:ind w:firstLine="480" w:firstLineChars="0"/>
        <w:rPr>
          <w:rFonts w:hint="eastAsia" w:ascii="仿宋" w:hAnsi="仿宋" w:eastAsia="仿宋" w:cs="宋体"/>
          <w:color w:val="484848"/>
          <w:kern w:val="0"/>
          <w:szCs w:val="32"/>
        </w:rPr>
      </w:pPr>
      <w:r>
        <w:rPr>
          <w:rFonts w:hint="eastAsia" w:ascii="仿宋" w:hAnsi="仿宋" w:eastAsia="仿宋" w:cs="宋体"/>
          <w:color w:val="484848"/>
          <w:kern w:val="0"/>
          <w:szCs w:val="32"/>
        </w:rPr>
        <w:t>（信息公开形式：主动公开）</w:t>
      </w:r>
    </w:p>
    <w:sectPr>
      <w:pgSz w:w="11906" w:h="16838"/>
      <w:pgMar w:top="1440" w:right="1797" w:bottom="1440" w:left="1797"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I3YTI5NjljZDhmYzExZGVjMDEyYzBjMzFiZTQ1MWMifQ=="/>
  </w:docVars>
  <w:rsids>
    <w:rsidRoot w:val="008A1280"/>
    <w:rsid w:val="00090B73"/>
    <w:rsid w:val="00147274"/>
    <w:rsid w:val="00355F79"/>
    <w:rsid w:val="00461FD7"/>
    <w:rsid w:val="00565A9D"/>
    <w:rsid w:val="00763716"/>
    <w:rsid w:val="007B5B12"/>
    <w:rsid w:val="008A1280"/>
    <w:rsid w:val="009247DC"/>
    <w:rsid w:val="0093371F"/>
    <w:rsid w:val="009E7BBA"/>
    <w:rsid w:val="00CD4980"/>
    <w:rsid w:val="00CF1F4A"/>
    <w:rsid w:val="00D339F4"/>
    <w:rsid w:val="00EC39EF"/>
    <w:rsid w:val="50DE16D8"/>
    <w:rsid w:val="701A7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Normal (Web)"/>
    <w:basedOn w:val="1"/>
    <w:semiHidden/>
    <w:unhideWhenUsed/>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6">
    <w:name w:val="Hyperlink"/>
    <w:basedOn w:val="5"/>
    <w:semiHidden/>
    <w:unhideWhenUsed/>
    <w:uiPriority w:val="99"/>
    <w:rPr>
      <w:color w:val="0000FF"/>
      <w:u w:val="single"/>
    </w:rPr>
  </w:style>
  <w:style w:type="character" w:customStyle="1" w:styleId="7">
    <w:name w:val="mr"/>
    <w:basedOn w:val="5"/>
    <w:uiPriority w:val="0"/>
  </w:style>
  <w:style w:type="character" w:customStyle="1" w:styleId="8">
    <w:name w:val="批注框文本 Char"/>
    <w:basedOn w:val="5"/>
    <w:link w:val="2"/>
    <w:semiHidden/>
    <w:uiPriority w:val="99"/>
    <w:rPr>
      <w:rFonts w:eastAsia="仿宋_GB231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343</Words>
  <Characters>1958</Characters>
  <Lines>16</Lines>
  <Paragraphs>4</Paragraphs>
  <TotalTime>6</TotalTime>
  <ScaleCrop>false</ScaleCrop>
  <LinksUpToDate>false</LinksUpToDate>
  <CharactersWithSpaces>2297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2024-04-22T08:15:00Z</dcterms:created>
  <dc:creator>NTKO</dc:creator>
  <cp:lastModifiedBy>何福林</cp:lastModifiedBy>
  <dcterms:modified xsi:type="dcterms:W3CDTF">2024-04-22T08:35:31Z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A6E86F3FB1374496AC30C8FBBB7C3113_12</vt:lpwstr>
  </property>
</Properties>
</file>